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75" w:rsidRDefault="000A1175" w:rsidP="00E3174C">
      <w:pPr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5E38B5">
        <w:rPr>
          <w:rFonts w:cstheme="minorHAnsi"/>
          <w:b/>
          <w:sz w:val="20"/>
          <w:szCs w:val="20"/>
        </w:rPr>
        <w:t>КАКУЮ ВОДУ МЫ ПЬЕМ?</w:t>
      </w:r>
    </w:p>
    <w:p w:rsidR="005E38B5" w:rsidRPr="005E38B5" w:rsidRDefault="005E38B5" w:rsidP="00E3174C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:rsidR="005E38B5" w:rsidRDefault="005E38B5" w:rsidP="00E3174C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  <w:r w:rsidRPr="005E38B5">
        <w:rPr>
          <w:rFonts w:cstheme="minorHAnsi"/>
          <w:sz w:val="20"/>
          <w:szCs w:val="20"/>
        </w:rPr>
        <w:t>ХРИСТОФОРОВА</w:t>
      </w:r>
      <w:r w:rsidR="000A1175" w:rsidRPr="005E38B5">
        <w:rPr>
          <w:rFonts w:cstheme="minorHAnsi"/>
          <w:sz w:val="20"/>
          <w:szCs w:val="20"/>
        </w:rPr>
        <w:t xml:space="preserve"> Н</w:t>
      </w:r>
      <w:r>
        <w:rPr>
          <w:rFonts w:cstheme="minorHAnsi"/>
          <w:sz w:val="20"/>
          <w:szCs w:val="20"/>
        </w:rPr>
        <w:t>адежда Константиновна</w:t>
      </w:r>
    </w:p>
    <w:p w:rsidR="005E38B5" w:rsidRPr="005E38B5" w:rsidRDefault="000A1175" w:rsidP="00E3174C">
      <w:pPr>
        <w:spacing w:line="240" w:lineRule="auto"/>
        <w:contextualSpacing/>
        <w:jc w:val="center"/>
        <w:rPr>
          <w:rFonts w:cstheme="minorHAnsi"/>
          <w:i/>
          <w:sz w:val="20"/>
          <w:szCs w:val="20"/>
        </w:rPr>
      </w:pPr>
      <w:r w:rsidRPr="005E38B5">
        <w:rPr>
          <w:rFonts w:cstheme="minorHAnsi"/>
          <w:i/>
          <w:sz w:val="20"/>
          <w:szCs w:val="20"/>
        </w:rPr>
        <w:t>Дальневос</w:t>
      </w:r>
      <w:r w:rsidR="005E38B5" w:rsidRPr="005E38B5">
        <w:rPr>
          <w:rFonts w:cstheme="minorHAnsi"/>
          <w:i/>
          <w:sz w:val="20"/>
          <w:szCs w:val="20"/>
        </w:rPr>
        <w:t>точный федеральный университет, Владивосток</w:t>
      </w:r>
    </w:p>
    <w:p w:rsidR="000A1175" w:rsidRPr="005E38B5" w:rsidRDefault="00F31CEA" w:rsidP="00E3174C">
      <w:pPr>
        <w:spacing w:line="240" w:lineRule="auto"/>
        <w:contextualSpacing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ФГБУН </w:t>
      </w:r>
      <w:r w:rsidR="000A1175" w:rsidRPr="005E38B5">
        <w:rPr>
          <w:rFonts w:cstheme="minorHAnsi"/>
          <w:i/>
          <w:sz w:val="20"/>
          <w:szCs w:val="20"/>
        </w:rPr>
        <w:t>Тихоокеанский институт географии</w:t>
      </w:r>
      <w:r w:rsidR="005E38B5" w:rsidRPr="005E38B5">
        <w:rPr>
          <w:rFonts w:cstheme="minorHAnsi"/>
          <w:i/>
          <w:sz w:val="20"/>
          <w:szCs w:val="20"/>
        </w:rPr>
        <w:t>,</w:t>
      </w:r>
      <w:r w:rsidR="000A1175" w:rsidRPr="005E38B5">
        <w:rPr>
          <w:rFonts w:cstheme="minorHAnsi"/>
          <w:i/>
          <w:sz w:val="20"/>
          <w:szCs w:val="20"/>
        </w:rPr>
        <w:t xml:space="preserve"> ДВО РАН, Владивосток</w:t>
      </w:r>
    </w:p>
    <w:p w:rsidR="005E38B5" w:rsidRPr="005E38B5" w:rsidRDefault="005E38B5" w:rsidP="00E3174C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C875FE" w:rsidRPr="005E38B5" w:rsidRDefault="007860FC" w:rsidP="005E38B5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5E38B5">
        <w:rPr>
          <w:rFonts w:cstheme="minorHAnsi"/>
          <w:sz w:val="20"/>
          <w:szCs w:val="20"/>
        </w:rPr>
        <w:t>Для питьевых и хозяйств</w:t>
      </w:r>
      <w:r w:rsidR="0080309A" w:rsidRPr="005E38B5">
        <w:rPr>
          <w:rFonts w:cstheme="minorHAnsi"/>
          <w:sz w:val="20"/>
          <w:szCs w:val="20"/>
        </w:rPr>
        <w:t>енно-</w:t>
      </w:r>
      <w:r w:rsidR="00C53328" w:rsidRPr="005E38B5">
        <w:rPr>
          <w:rFonts w:cstheme="minorHAnsi"/>
          <w:sz w:val="20"/>
          <w:szCs w:val="20"/>
        </w:rPr>
        <w:t>бытовых целей в Приморском крае используют</w:t>
      </w:r>
      <w:r w:rsidRPr="005E38B5">
        <w:rPr>
          <w:rFonts w:cstheme="minorHAnsi"/>
          <w:sz w:val="20"/>
          <w:szCs w:val="20"/>
        </w:rPr>
        <w:t xml:space="preserve"> воды из поверхностных и подземных источников. </w:t>
      </w:r>
      <w:r w:rsidR="00C875FE" w:rsidRPr="005E38B5">
        <w:rPr>
          <w:rFonts w:cstheme="minorHAnsi"/>
          <w:sz w:val="20"/>
          <w:szCs w:val="20"/>
        </w:rPr>
        <w:t xml:space="preserve">На территории края имеется 576 водоисточников, </w:t>
      </w:r>
      <w:r w:rsidR="00FD0D5C" w:rsidRPr="005E38B5">
        <w:rPr>
          <w:rFonts w:cstheme="minorHAnsi"/>
          <w:sz w:val="20"/>
          <w:szCs w:val="20"/>
        </w:rPr>
        <w:t>в том числе</w:t>
      </w:r>
      <w:r w:rsidR="00C875FE" w:rsidRPr="005E38B5">
        <w:rPr>
          <w:rFonts w:cstheme="minorHAnsi"/>
          <w:sz w:val="20"/>
          <w:szCs w:val="20"/>
        </w:rPr>
        <w:t xml:space="preserve"> 44 поверхностных (из </w:t>
      </w:r>
      <w:r w:rsidR="00FD0D5C" w:rsidRPr="005E38B5">
        <w:rPr>
          <w:rFonts w:cstheme="minorHAnsi"/>
          <w:sz w:val="20"/>
          <w:szCs w:val="20"/>
        </w:rPr>
        <w:t xml:space="preserve">них </w:t>
      </w:r>
      <w:r w:rsidR="00E345AF" w:rsidRPr="005E38B5">
        <w:rPr>
          <w:rFonts w:cstheme="minorHAnsi"/>
          <w:sz w:val="20"/>
          <w:szCs w:val="20"/>
        </w:rPr>
        <w:t>четыре источника не отвечают санитарным правилам и нормам, не имеют зон санитарной охраны) и 532 подземных (из них 100 не отвечают санитарным требованиям, также не имеют ЗСО). Из общего количества водопроводов</w:t>
      </w:r>
      <w:r w:rsidR="00D77EB1" w:rsidRPr="005E38B5">
        <w:rPr>
          <w:rFonts w:cstheme="minorHAnsi"/>
          <w:sz w:val="20"/>
          <w:szCs w:val="20"/>
        </w:rPr>
        <w:t xml:space="preserve"> (395) на 20 отсутствуют очистные сооружения, на 36 – обеззараживающие установки. Наиболее незащищенными и подверженными сезонным колебаниям являются поверхностные водоисточники.</w:t>
      </w:r>
      <w:r w:rsidR="00C8033B" w:rsidRPr="005E38B5">
        <w:rPr>
          <w:rFonts w:cstheme="minorHAnsi"/>
          <w:sz w:val="20"/>
          <w:szCs w:val="20"/>
        </w:rPr>
        <w:t xml:space="preserve"> Превышение гигиенических нормативов выше среднекраевого уровня по санитарно-химическим показателям в водоемах 1 категории водопользования зарегистрировано на территориях городов Спасск-Дальний, Уссурийск, Лесозаводск и в Надеждинском районе, по микробиологическим показателям – в городах Лесозаводск, Дальнегорск, Уссурийск и также в Надеждинском районе (Доклад об экологической …, 2016)</w:t>
      </w:r>
      <w:r w:rsidR="005E38B5">
        <w:rPr>
          <w:rFonts w:cstheme="minorHAnsi"/>
          <w:sz w:val="20"/>
          <w:szCs w:val="20"/>
        </w:rPr>
        <w:t>.</w:t>
      </w:r>
    </w:p>
    <w:p w:rsidR="008525FD" w:rsidRDefault="007860FC" w:rsidP="005E38B5">
      <w:pPr>
        <w:spacing w:line="240" w:lineRule="auto"/>
        <w:ind w:firstLine="567"/>
        <w:contextualSpacing/>
        <w:jc w:val="both"/>
        <w:rPr>
          <w:rFonts w:cstheme="minorHAnsi"/>
          <w:sz w:val="20"/>
          <w:szCs w:val="20"/>
        </w:rPr>
      </w:pPr>
      <w:r w:rsidRPr="005E38B5">
        <w:rPr>
          <w:rFonts w:cstheme="minorHAnsi"/>
          <w:sz w:val="20"/>
          <w:szCs w:val="20"/>
        </w:rPr>
        <w:t>Доля проб воды из распределительной сети, не соответствующих гигиеническим нормативам, составляет по сан</w:t>
      </w:r>
      <w:r w:rsidR="00104A44" w:rsidRPr="005E38B5">
        <w:rPr>
          <w:rFonts w:cstheme="minorHAnsi"/>
          <w:sz w:val="20"/>
          <w:szCs w:val="20"/>
        </w:rPr>
        <w:t>итарно-химическим показателям 31,6</w:t>
      </w:r>
      <w:r w:rsidRPr="005E38B5">
        <w:rPr>
          <w:rFonts w:cstheme="minorHAnsi"/>
          <w:sz w:val="20"/>
          <w:szCs w:val="20"/>
        </w:rPr>
        <w:t>%, по микробиологическ</w:t>
      </w:r>
      <w:r w:rsidR="00104A44" w:rsidRPr="005E38B5">
        <w:rPr>
          <w:rFonts w:cstheme="minorHAnsi"/>
          <w:sz w:val="20"/>
          <w:szCs w:val="20"/>
        </w:rPr>
        <w:t>им – 8</w:t>
      </w:r>
      <w:r w:rsidR="005E38B5">
        <w:rPr>
          <w:rFonts w:cstheme="minorHAnsi"/>
          <w:sz w:val="20"/>
          <w:szCs w:val="20"/>
        </w:rPr>
        <w:t>,8% (Т</w:t>
      </w:r>
      <w:r w:rsidRPr="005E38B5">
        <w:rPr>
          <w:rFonts w:cstheme="minorHAnsi"/>
          <w:sz w:val="20"/>
          <w:szCs w:val="20"/>
        </w:rPr>
        <w:t>абл.</w:t>
      </w:r>
      <w:r w:rsidR="008430A3" w:rsidRPr="005E38B5">
        <w:rPr>
          <w:rFonts w:cstheme="minorHAnsi"/>
          <w:sz w:val="20"/>
          <w:szCs w:val="20"/>
        </w:rPr>
        <w:t xml:space="preserve"> 1</w:t>
      </w:r>
      <w:r w:rsidRPr="005E38B5">
        <w:rPr>
          <w:rFonts w:cstheme="minorHAnsi"/>
          <w:sz w:val="20"/>
          <w:szCs w:val="20"/>
        </w:rPr>
        <w:t>).</w:t>
      </w:r>
    </w:p>
    <w:p w:rsidR="005E38B5" w:rsidRPr="005E38B5" w:rsidRDefault="005E38B5" w:rsidP="005E38B5">
      <w:pPr>
        <w:spacing w:line="240" w:lineRule="auto"/>
        <w:ind w:firstLine="567"/>
        <w:contextualSpacing/>
        <w:jc w:val="both"/>
        <w:rPr>
          <w:rFonts w:cstheme="minorHAnsi"/>
          <w:sz w:val="20"/>
          <w:szCs w:val="20"/>
        </w:rPr>
      </w:pPr>
    </w:p>
    <w:p w:rsidR="007860FC" w:rsidRPr="005E38B5" w:rsidRDefault="007860FC" w:rsidP="005E38B5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5E38B5">
        <w:rPr>
          <w:rFonts w:cstheme="minorHAnsi"/>
          <w:sz w:val="20"/>
          <w:szCs w:val="20"/>
        </w:rPr>
        <w:t xml:space="preserve">Таблица </w:t>
      </w:r>
      <w:r w:rsidR="008430A3" w:rsidRPr="005E38B5">
        <w:rPr>
          <w:rFonts w:cstheme="minorHAnsi"/>
          <w:sz w:val="20"/>
          <w:szCs w:val="20"/>
        </w:rPr>
        <w:t>1.</w:t>
      </w:r>
      <w:r w:rsidRPr="005E38B5">
        <w:rPr>
          <w:rFonts w:cstheme="minorHAnsi"/>
          <w:sz w:val="20"/>
          <w:szCs w:val="20"/>
        </w:rPr>
        <w:t xml:space="preserve"> Качество питьевой воды </w:t>
      </w:r>
      <w:r w:rsidR="00227360" w:rsidRPr="005E38B5">
        <w:rPr>
          <w:rFonts w:cstheme="minorHAnsi"/>
          <w:sz w:val="20"/>
          <w:szCs w:val="20"/>
        </w:rPr>
        <w:t>в Приморском крае</w:t>
      </w:r>
      <w:r w:rsidRPr="005E38B5">
        <w:rPr>
          <w:rFonts w:cstheme="minorHAnsi"/>
          <w:sz w:val="20"/>
          <w:szCs w:val="20"/>
        </w:rPr>
        <w:t xml:space="preserve"> (Государственный доклад …, 2015)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83"/>
        <w:gridCol w:w="766"/>
        <w:gridCol w:w="765"/>
        <w:gridCol w:w="765"/>
        <w:gridCol w:w="766"/>
        <w:gridCol w:w="766"/>
        <w:gridCol w:w="767"/>
        <w:gridCol w:w="767"/>
        <w:gridCol w:w="767"/>
        <w:gridCol w:w="767"/>
        <w:gridCol w:w="660"/>
      </w:tblGrid>
      <w:tr w:rsidR="007860FC" w:rsidRPr="005E38B5" w:rsidTr="005E38B5">
        <w:tc>
          <w:tcPr>
            <w:tcW w:w="2083" w:type="dxa"/>
          </w:tcPr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gridSpan w:val="5"/>
          </w:tcPr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Распределительные сети: доля проб, не соответствующая нормативам, %</w:t>
            </w:r>
          </w:p>
        </w:tc>
        <w:tc>
          <w:tcPr>
            <w:tcW w:w="3728" w:type="dxa"/>
            <w:gridSpan w:val="5"/>
          </w:tcPr>
          <w:p w:rsid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 xml:space="preserve">Нецентрализованная система </w:t>
            </w:r>
          </w:p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водоснабжения: доля проб, не соответствующая нормативам, %</w:t>
            </w:r>
          </w:p>
        </w:tc>
      </w:tr>
      <w:tr w:rsidR="007860FC" w:rsidRPr="005E38B5" w:rsidTr="005E38B5">
        <w:tc>
          <w:tcPr>
            <w:tcW w:w="2083" w:type="dxa"/>
          </w:tcPr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E38B5">
              <w:rPr>
                <w:rFonts w:asciiTheme="minorHAnsi" w:hAnsiTheme="minorHAnsi" w:cstheme="minorHAnsi"/>
                <w:b/>
              </w:rPr>
              <w:t>Показатели</w:t>
            </w:r>
          </w:p>
        </w:tc>
        <w:tc>
          <w:tcPr>
            <w:tcW w:w="766" w:type="dxa"/>
          </w:tcPr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E38B5">
              <w:rPr>
                <w:rFonts w:asciiTheme="minorHAnsi" w:hAnsiTheme="minorHAnsi" w:cstheme="minorHAnsi"/>
                <w:b/>
              </w:rPr>
              <w:t>2010</w:t>
            </w:r>
          </w:p>
        </w:tc>
        <w:tc>
          <w:tcPr>
            <w:tcW w:w="765" w:type="dxa"/>
          </w:tcPr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E38B5">
              <w:rPr>
                <w:rFonts w:asciiTheme="minorHAnsi" w:hAnsiTheme="minorHAnsi" w:cstheme="minorHAnsi"/>
                <w:b/>
              </w:rPr>
              <w:t>2011</w:t>
            </w:r>
          </w:p>
        </w:tc>
        <w:tc>
          <w:tcPr>
            <w:tcW w:w="765" w:type="dxa"/>
          </w:tcPr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E38B5">
              <w:rPr>
                <w:rFonts w:asciiTheme="minorHAnsi" w:hAnsiTheme="minorHAnsi" w:cstheme="minorHAnsi"/>
                <w:b/>
              </w:rPr>
              <w:t>2012</w:t>
            </w:r>
          </w:p>
        </w:tc>
        <w:tc>
          <w:tcPr>
            <w:tcW w:w="766" w:type="dxa"/>
          </w:tcPr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E38B5">
              <w:rPr>
                <w:rFonts w:asciiTheme="minorHAnsi" w:hAnsiTheme="minorHAnsi" w:cstheme="minorHAnsi"/>
                <w:b/>
              </w:rPr>
              <w:t>2013</w:t>
            </w:r>
          </w:p>
        </w:tc>
        <w:tc>
          <w:tcPr>
            <w:tcW w:w="766" w:type="dxa"/>
          </w:tcPr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E38B5">
              <w:rPr>
                <w:rFonts w:asciiTheme="minorHAnsi" w:hAnsiTheme="minorHAnsi" w:cstheme="minorHAnsi"/>
                <w:b/>
              </w:rPr>
              <w:t>2014</w:t>
            </w:r>
          </w:p>
        </w:tc>
        <w:tc>
          <w:tcPr>
            <w:tcW w:w="767" w:type="dxa"/>
          </w:tcPr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E38B5">
              <w:rPr>
                <w:rFonts w:asciiTheme="minorHAnsi" w:hAnsiTheme="minorHAnsi" w:cstheme="minorHAnsi"/>
                <w:b/>
              </w:rPr>
              <w:t>2010</w:t>
            </w:r>
          </w:p>
        </w:tc>
        <w:tc>
          <w:tcPr>
            <w:tcW w:w="767" w:type="dxa"/>
          </w:tcPr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E38B5">
              <w:rPr>
                <w:rFonts w:asciiTheme="minorHAnsi" w:hAnsiTheme="minorHAnsi" w:cstheme="minorHAnsi"/>
                <w:b/>
              </w:rPr>
              <w:t>2011</w:t>
            </w:r>
          </w:p>
        </w:tc>
        <w:tc>
          <w:tcPr>
            <w:tcW w:w="767" w:type="dxa"/>
          </w:tcPr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E38B5">
              <w:rPr>
                <w:rFonts w:asciiTheme="minorHAnsi" w:hAnsiTheme="minorHAnsi" w:cstheme="minorHAnsi"/>
                <w:b/>
              </w:rPr>
              <w:t>2012</w:t>
            </w:r>
          </w:p>
        </w:tc>
        <w:tc>
          <w:tcPr>
            <w:tcW w:w="767" w:type="dxa"/>
          </w:tcPr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E38B5">
              <w:rPr>
                <w:rFonts w:asciiTheme="minorHAnsi" w:hAnsiTheme="minorHAnsi" w:cstheme="minorHAnsi"/>
                <w:b/>
              </w:rPr>
              <w:t>2013</w:t>
            </w:r>
          </w:p>
        </w:tc>
        <w:tc>
          <w:tcPr>
            <w:tcW w:w="660" w:type="dxa"/>
          </w:tcPr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E38B5">
              <w:rPr>
                <w:rFonts w:asciiTheme="minorHAnsi" w:hAnsiTheme="minorHAnsi" w:cstheme="minorHAnsi"/>
                <w:b/>
              </w:rPr>
              <w:t>2014</w:t>
            </w:r>
          </w:p>
        </w:tc>
      </w:tr>
      <w:tr w:rsidR="007860FC" w:rsidRPr="005E38B5" w:rsidTr="005E38B5">
        <w:tc>
          <w:tcPr>
            <w:tcW w:w="2083" w:type="dxa"/>
          </w:tcPr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Санитарно-химические</w:t>
            </w:r>
          </w:p>
        </w:tc>
        <w:tc>
          <w:tcPr>
            <w:tcW w:w="766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21</w:t>
            </w:r>
            <w:r w:rsidR="007860FC" w:rsidRPr="005E38B5">
              <w:rPr>
                <w:rFonts w:asciiTheme="minorHAnsi" w:hAnsiTheme="minorHAnsi" w:cstheme="minorHAnsi"/>
              </w:rPr>
              <w:t>,</w:t>
            </w:r>
            <w:r w:rsidRPr="005E38B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65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21,8</w:t>
            </w:r>
          </w:p>
        </w:tc>
        <w:tc>
          <w:tcPr>
            <w:tcW w:w="765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24,5</w:t>
            </w:r>
          </w:p>
        </w:tc>
        <w:tc>
          <w:tcPr>
            <w:tcW w:w="766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30,4</w:t>
            </w:r>
          </w:p>
        </w:tc>
        <w:tc>
          <w:tcPr>
            <w:tcW w:w="766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31,6</w:t>
            </w:r>
          </w:p>
        </w:tc>
        <w:tc>
          <w:tcPr>
            <w:tcW w:w="767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24,9</w:t>
            </w:r>
          </w:p>
        </w:tc>
        <w:tc>
          <w:tcPr>
            <w:tcW w:w="767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30,7</w:t>
            </w:r>
          </w:p>
        </w:tc>
        <w:tc>
          <w:tcPr>
            <w:tcW w:w="767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33,1</w:t>
            </w:r>
          </w:p>
        </w:tc>
        <w:tc>
          <w:tcPr>
            <w:tcW w:w="767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38,0</w:t>
            </w:r>
          </w:p>
        </w:tc>
        <w:tc>
          <w:tcPr>
            <w:tcW w:w="660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40,2</w:t>
            </w:r>
          </w:p>
        </w:tc>
      </w:tr>
      <w:tr w:rsidR="007860FC" w:rsidRPr="005E38B5" w:rsidTr="005E38B5">
        <w:tc>
          <w:tcPr>
            <w:tcW w:w="2083" w:type="dxa"/>
          </w:tcPr>
          <w:p w:rsidR="007860FC" w:rsidRPr="005E38B5" w:rsidRDefault="007860FC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Микробиологические</w:t>
            </w:r>
          </w:p>
        </w:tc>
        <w:tc>
          <w:tcPr>
            <w:tcW w:w="766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10,5</w:t>
            </w:r>
          </w:p>
        </w:tc>
        <w:tc>
          <w:tcPr>
            <w:tcW w:w="765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8,6</w:t>
            </w:r>
          </w:p>
        </w:tc>
        <w:tc>
          <w:tcPr>
            <w:tcW w:w="765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9,7</w:t>
            </w:r>
          </w:p>
        </w:tc>
        <w:tc>
          <w:tcPr>
            <w:tcW w:w="766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10,2</w:t>
            </w:r>
          </w:p>
        </w:tc>
        <w:tc>
          <w:tcPr>
            <w:tcW w:w="766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8</w:t>
            </w:r>
            <w:r w:rsidR="007860FC" w:rsidRPr="005E38B5">
              <w:rPr>
                <w:rFonts w:asciiTheme="minorHAnsi" w:hAnsiTheme="minorHAnsi" w:cstheme="minorHAnsi"/>
              </w:rPr>
              <w:t>,8</w:t>
            </w:r>
          </w:p>
        </w:tc>
        <w:tc>
          <w:tcPr>
            <w:tcW w:w="767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52,9</w:t>
            </w:r>
          </w:p>
        </w:tc>
        <w:tc>
          <w:tcPr>
            <w:tcW w:w="767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48,8</w:t>
            </w:r>
          </w:p>
        </w:tc>
        <w:tc>
          <w:tcPr>
            <w:tcW w:w="767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52,7</w:t>
            </w:r>
          </w:p>
        </w:tc>
        <w:tc>
          <w:tcPr>
            <w:tcW w:w="767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55,6</w:t>
            </w:r>
          </w:p>
        </w:tc>
        <w:tc>
          <w:tcPr>
            <w:tcW w:w="660" w:type="dxa"/>
          </w:tcPr>
          <w:p w:rsidR="007860FC" w:rsidRPr="005E38B5" w:rsidRDefault="00227360" w:rsidP="005E38B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52</w:t>
            </w:r>
            <w:r w:rsidR="007860FC" w:rsidRPr="005E38B5">
              <w:rPr>
                <w:rFonts w:asciiTheme="minorHAnsi" w:hAnsiTheme="minorHAnsi" w:cstheme="minorHAnsi"/>
              </w:rPr>
              <w:t>,1</w:t>
            </w:r>
          </w:p>
        </w:tc>
      </w:tr>
    </w:tbl>
    <w:p w:rsidR="005E38B5" w:rsidRDefault="005E38B5" w:rsidP="005E38B5">
      <w:pPr>
        <w:spacing w:line="240" w:lineRule="auto"/>
        <w:ind w:firstLine="567"/>
        <w:contextualSpacing/>
        <w:jc w:val="both"/>
        <w:rPr>
          <w:rFonts w:cstheme="minorHAnsi"/>
          <w:sz w:val="20"/>
          <w:szCs w:val="20"/>
        </w:rPr>
      </w:pPr>
    </w:p>
    <w:p w:rsidR="007860FC" w:rsidRPr="005E38B5" w:rsidRDefault="00CD5D24" w:rsidP="005E38B5">
      <w:pPr>
        <w:spacing w:line="240" w:lineRule="auto"/>
        <w:ind w:firstLine="567"/>
        <w:contextualSpacing/>
        <w:jc w:val="both"/>
        <w:rPr>
          <w:rFonts w:cstheme="minorHAnsi"/>
          <w:sz w:val="20"/>
          <w:szCs w:val="20"/>
        </w:rPr>
      </w:pPr>
      <w:r w:rsidRPr="005E38B5">
        <w:rPr>
          <w:rFonts w:cstheme="minorHAnsi"/>
          <w:sz w:val="20"/>
          <w:szCs w:val="20"/>
        </w:rPr>
        <w:t xml:space="preserve">По сравнению с РФ в 2014 г. в Приморье доля неудовлетворительных проб </w:t>
      </w:r>
      <w:r w:rsidR="005D18C9" w:rsidRPr="005E38B5">
        <w:rPr>
          <w:rFonts w:cstheme="minorHAnsi"/>
          <w:sz w:val="20"/>
          <w:szCs w:val="20"/>
        </w:rPr>
        <w:t xml:space="preserve">из разводящей сети </w:t>
      </w:r>
      <w:r w:rsidRPr="005E38B5">
        <w:rPr>
          <w:rFonts w:cstheme="minorHAnsi"/>
          <w:sz w:val="20"/>
          <w:szCs w:val="20"/>
        </w:rPr>
        <w:t>по санитарно-химическим показателям</w:t>
      </w:r>
      <w:r w:rsidR="007860FC" w:rsidRPr="005E38B5">
        <w:rPr>
          <w:rFonts w:cstheme="minorHAnsi"/>
          <w:sz w:val="20"/>
          <w:szCs w:val="20"/>
        </w:rPr>
        <w:t xml:space="preserve"> </w:t>
      </w:r>
      <w:r w:rsidR="005D18C9" w:rsidRPr="005E38B5">
        <w:rPr>
          <w:rFonts w:cstheme="minorHAnsi"/>
          <w:sz w:val="20"/>
          <w:szCs w:val="20"/>
        </w:rPr>
        <w:t xml:space="preserve">превышена </w:t>
      </w:r>
      <w:r w:rsidRPr="005E38B5">
        <w:rPr>
          <w:rFonts w:cstheme="minorHAnsi"/>
          <w:sz w:val="20"/>
          <w:szCs w:val="20"/>
        </w:rPr>
        <w:t>на 14,9%, по микробиологическим – на 4,8%.</w:t>
      </w:r>
      <w:r w:rsidR="005D18C9" w:rsidRPr="005E38B5">
        <w:rPr>
          <w:rFonts w:cstheme="minorHAnsi"/>
          <w:sz w:val="20"/>
          <w:szCs w:val="20"/>
        </w:rPr>
        <w:t xml:space="preserve"> При ранжировании территорий по степени потенциальной эпидемиологической опасности питьевой воды первые ранговые места занимают Шкотовский (</w:t>
      </w:r>
      <w:r w:rsidR="008525FD" w:rsidRPr="005E38B5">
        <w:rPr>
          <w:rFonts w:cstheme="minorHAnsi"/>
          <w:sz w:val="20"/>
          <w:szCs w:val="20"/>
        </w:rPr>
        <w:t>39,5% неудовлетворительных проб п</w:t>
      </w:r>
      <w:r w:rsidR="005D18C9" w:rsidRPr="005E38B5">
        <w:rPr>
          <w:rFonts w:cstheme="minorHAnsi"/>
          <w:sz w:val="20"/>
          <w:szCs w:val="20"/>
        </w:rPr>
        <w:t>о микробиологическим показателям), Лазовский (35,7%)</w:t>
      </w:r>
      <w:r w:rsidR="008525FD" w:rsidRPr="005E38B5">
        <w:rPr>
          <w:rFonts w:cstheme="minorHAnsi"/>
          <w:sz w:val="20"/>
          <w:szCs w:val="20"/>
        </w:rPr>
        <w:t>, Надеждинский (28,9%) районы, за ними следуют Ольгинский, Чугуевский и Хасанский</w:t>
      </w:r>
      <w:r w:rsidR="00DD7BB0" w:rsidRPr="005E38B5">
        <w:rPr>
          <w:rFonts w:cstheme="minorHAnsi"/>
          <w:sz w:val="20"/>
          <w:szCs w:val="20"/>
        </w:rPr>
        <w:t xml:space="preserve"> (с показателями выше 20%)</w:t>
      </w:r>
      <w:r w:rsidR="008525FD" w:rsidRPr="005E38B5">
        <w:rPr>
          <w:rFonts w:cstheme="minorHAnsi"/>
          <w:sz w:val="20"/>
          <w:szCs w:val="20"/>
        </w:rPr>
        <w:t>.</w:t>
      </w:r>
    </w:p>
    <w:p w:rsidR="003406DF" w:rsidRPr="005E38B5" w:rsidRDefault="00AD1E21" w:rsidP="005E38B5">
      <w:pPr>
        <w:spacing w:line="240" w:lineRule="auto"/>
        <w:ind w:firstLine="567"/>
        <w:contextualSpacing/>
        <w:jc w:val="both"/>
        <w:rPr>
          <w:rFonts w:cstheme="minorHAnsi"/>
          <w:sz w:val="20"/>
          <w:szCs w:val="20"/>
        </w:rPr>
      </w:pPr>
      <w:r w:rsidRPr="005E38B5">
        <w:rPr>
          <w:rFonts w:cstheme="minorHAnsi"/>
          <w:sz w:val="20"/>
          <w:szCs w:val="20"/>
        </w:rPr>
        <w:t>С</w:t>
      </w:r>
      <w:r w:rsidR="007860FC" w:rsidRPr="005E38B5">
        <w:rPr>
          <w:rFonts w:cstheme="minorHAnsi"/>
          <w:sz w:val="20"/>
          <w:szCs w:val="20"/>
        </w:rPr>
        <w:t xml:space="preserve">итуация с питьевой водой в нецентрализованной системе водоснабжения по санитарно-химическим показателям выглядит </w:t>
      </w:r>
      <w:r w:rsidRPr="005E38B5">
        <w:rPr>
          <w:rFonts w:cstheme="minorHAnsi"/>
          <w:sz w:val="20"/>
          <w:szCs w:val="20"/>
        </w:rPr>
        <w:t>гораздо хуже</w:t>
      </w:r>
      <w:r w:rsidR="008525FD" w:rsidRPr="005E38B5">
        <w:rPr>
          <w:rFonts w:cstheme="minorHAnsi"/>
          <w:sz w:val="20"/>
          <w:szCs w:val="20"/>
        </w:rPr>
        <w:t>, чем в централизованной.</w:t>
      </w:r>
      <w:r w:rsidR="007860FC" w:rsidRPr="005E38B5">
        <w:rPr>
          <w:rFonts w:cstheme="minorHAnsi"/>
          <w:sz w:val="20"/>
          <w:szCs w:val="20"/>
        </w:rPr>
        <w:t xml:space="preserve"> </w:t>
      </w:r>
      <w:r w:rsidRPr="005E38B5">
        <w:rPr>
          <w:rFonts w:cstheme="minorHAnsi"/>
          <w:sz w:val="20"/>
          <w:szCs w:val="20"/>
        </w:rPr>
        <w:t xml:space="preserve">Но особенно удручают микробиологические показатели: </w:t>
      </w:r>
      <w:r w:rsidR="00031442" w:rsidRPr="005E38B5">
        <w:rPr>
          <w:rFonts w:cstheme="minorHAnsi"/>
          <w:sz w:val="20"/>
          <w:szCs w:val="20"/>
        </w:rPr>
        <w:t xml:space="preserve">в колодезной воде </w:t>
      </w:r>
      <w:r w:rsidR="00104A44" w:rsidRPr="005E38B5">
        <w:rPr>
          <w:rFonts w:cstheme="minorHAnsi"/>
          <w:sz w:val="20"/>
          <w:szCs w:val="20"/>
        </w:rPr>
        <w:t xml:space="preserve">не соответствует нормативам </w:t>
      </w:r>
      <w:r w:rsidRPr="005E38B5">
        <w:rPr>
          <w:rFonts w:cstheme="minorHAnsi"/>
          <w:sz w:val="20"/>
          <w:szCs w:val="20"/>
        </w:rPr>
        <w:t>бол</w:t>
      </w:r>
      <w:r w:rsidR="00104A44" w:rsidRPr="005E38B5">
        <w:rPr>
          <w:rFonts w:cstheme="minorHAnsi"/>
          <w:sz w:val="20"/>
          <w:szCs w:val="20"/>
        </w:rPr>
        <w:t xml:space="preserve">ьше половины проб. </w:t>
      </w:r>
      <w:r w:rsidR="00031442" w:rsidRPr="005E38B5">
        <w:rPr>
          <w:rFonts w:cstheme="minorHAnsi"/>
          <w:sz w:val="20"/>
          <w:szCs w:val="20"/>
        </w:rPr>
        <w:t>Правда, в 2015 г. ситуация немного улучшилась –</w:t>
      </w:r>
      <w:r w:rsidR="00CB4E7B" w:rsidRPr="005E38B5">
        <w:rPr>
          <w:rFonts w:cstheme="minorHAnsi"/>
          <w:sz w:val="20"/>
          <w:szCs w:val="20"/>
        </w:rPr>
        <w:t xml:space="preserve"> </w:t>
      </w:r>
      <w:r w:rsidR="00031442" w:rsidRPr="005E38B5">
        <w:rPr>
          <w:rFonts w:cstheme="minorHAnsi"/>
          <w:sz w:val="20"/>
          <w:szCs w:val="20"/>
        </w:rPr>
        <w:t xml:space="preserve">доля неудовлетворительных проб составила 46,3%. </w:t>
      </w:r>
      <w:r w:rsidR="003406DF" w:rsidRPr="005E38B5">
        <w:rPr>
          <w:rFonts w:cstheme="minorHAnsi"/>
          <w:sz w:val="20"/>
          <w:szCs w:val="20"/>
        </w:rPr>
        <w:t xml:space="preserve">Наиболее неудовлетворительное положение с качеством питьевой воды нецентрализованных источников водоснабжения сохраняется по санитарно-химическим показателям: в </w:t>
      </w:r>
      <w:r w:rsidR="006D6CF2" w:rsidRPr="005E38B5">
        <w:rPr>
          <w:rFonts w:cstheme="minorHAnsi"/>
          <w:sz w:val="20"/>
          <w:szCs w:val="20"/>
        </w:rPr>
        <w:t xml:space="preserve">Шкотовском, </w:t>
      </w:r>
      <w:r w:rsidR="003406DF" w:rsidRPr="005E38B5">
        <w:rPr>
          <w:rFonts w:cstheme="minorHAnsi"/>
          <w:sz w:val="20"/>
          <w:szCs w:val="20"/>
        </w:rPr>
        <w:t xml:space="preserve">Михайловском, Октябрьском, Пограничном, </w:t>
      </w:r>
      <w:r w:rsidR="006D6CF2" w:rsidRPr="005E38B5">
        <w:rPr>
          <w:rFonts w:cstheme="minorHAnsi"/>
          <w:sz w:val="20"/>
          <w:szCs w:val="20"/>
        </w:rPr>
        <w:t xml:space="preserve">Черниговском, </w:t>
      </w:r>
      <w:r w:rsidR="003406DF" w:rsidRPr="005E38B5">
        <w:rPr>
          <w:rFonts w:cstheme="minorHAnsi"/>
          <w:sz w:val="20"/>
          <w:szCs w:val="20"/>
        </w:rPr>
        <w:t xml:space="preserve">Яковлевском, Кировском, и Анучинском районах, по микробиологическим показателям в городах: Владивосток, Артем, Спасск-Дальний, а также в Шкотовском, Михайловском, Октябрьском, </w:t>
      </w:r>
      <w:r w:rsidR="006D6CF2" w:rsidRPr="005E38B5">
        <w:rPr>
          <w:rFonts w:cstheme="minorHAnsi"/>
          <w:sz w:val="20"/>
          <w:szCs w:val="20"/>
        </w:rPr>
        <w:t xml:space="preserve">Пограничном, Черниговском, </w:t>
      </w:r>
      <w:r w:rsidR="003406DF" w:rsidRPr="005E38B5">
        <w:rPr>
          <w:rFonts w:cstheme="minorHAnsi"/>
          <w:sz w:val="20"/>
          <w:szCs w:val="20"/>
        </w:rPr>
        <w:t>Хасанско</w:t>
      </w:r>
      <w:r w:rsidR="006D6CF2" w:rsidRPr="005E38B5">
        <w:rPr>
          <w:rFonts w:cstheme="minorHAnsi"/>
          <w:sz w:val="20"/>
          <w:szCs w:val="20"/>
        </w:rPr>
        <w:t>м и Надеждинском районах.</w:t>
      </w:r>
    </w:p>
    <w:p w:rsidR="00C53328" w:rsidRPr="005E38B5" w:rsidRDefault="00C53328" w:rsidP="005E38B5">
      <w:pPr>
        <w:spacing w:line="240" w:lineRule="auto"/>
        <w:ind w:firstLine="567"/>
        <w:contextualSpacing/>
        <w:jc w:val="both"/>
        <w:rPr>
          <w:rFonts w:cstheme="minorHAnsi"/>
          <w:sz w:val="20"/>
          <w:szCs w:val="20"/>
        </w:rPr>
      </w:pPr>
      <w:r w:rsidRPr="005E38B5">
        <w:rPr>
          <w:rFonts w:cstheme="minorHAnsi"/>
          <w:sz w:val="20"/>
          <w:szCs w:val="20"/>
        </w:rPr>
        <w:t>Согласно «Докладу об экологической ситуации В Приморском крае в 2015 году» (Приморская газета, 30 июня 2016) в крае обеспечены питьевой водой надлежащего качества (доброкачественной и условно доброкачественной)</w:t>
      </w:r>
      <w:r w:rsidR="005E38B5">
        <w:rPr>
          <w:rFonts w:cstheme="minorHAnsi"/>
          <w:sz w:val="20"/>
          <w:szCs w:val="20"/>
        </w:rPr>
        <w:t xml:space="preserve"> 1 630 </w:t>
      </w:r>
      <w:r w:rsidR="00AF52D4" w:rsidRPr="005E38B5">
        <w:rPr>
          <w:rFonts w:cstheme="minorHAnsi"/>
          <w:sz w:val="20"/>
          <w:szCs w:val="20"/>
        </w:rPr>
        <w:t>540 чел. (87,5%)</w:t>
      </w:r>
      <w:r w:rsidR="007C05C2" w:rsidRPr="005E38B5">
        <w:rPr>
          <w:rFonts w:cstheme="minorHAnsi"/>
          <w:sz w:val="20"/>
          <w:szCs w:val="20"/>
        </w:rPr>
        <w:t xml:space="preserve"> (</w:t>
      </w:r>
      <w:r w:rsidR="004A18A4" w:rsidRPr="005E38B5">
        <w:rPr>
          <w:rFonts w:cstheme="minorHAnsi"/>
          <w:sz w:val="20"/>
          <w:szCs w:val="20"/>
        </w:rPr>
        <w:t>в городских поселениях – 91,4%, в сельских – 75,2%</w:t>
      </w:r>
      <w:r w:rsidR="007C05C2" w:rsidRPr="005E38B5">
        <w:rPr>
          <w:rFonts w:cstheme="minorHAnsi"/>
          <w:sz w:val="20"/>
          <w:szCs w:val="20"/>
        </w:rPr>
        <w:t>)</w:t>
      </w:r>
      <w:r w:rsidR="004A18A4" w:rsidRPr="005E38B5">
        <w:rPr>
          <w:rFonts w:cstheme="minorHAnsi"/>
          <w:sz w:val="20"/>
          <w:szCs w:val="20"/>
        </w:rPr>
        <w:t>. Из общего количества населенных пунктов (317) доля поселений городского типа, обеспеченных водой надлежащего качества, составляет 71,1%, сельских поселений – 47,9% (т.е. меньше половины сельских населенных пунктов</w:t>
      </w:r>
      <w:r w:rsidR="00C875FE" w:rsidRPr="005E38B5">
        <w:rPr>
          <w:rFonts w:cstheme="minorHAnsi"/>
          <w:sz w:val="20"/>
          <w:szCs w:val="20"/>
        </w:rPr>
        <w:t xml:space="preserve"> обеспечены доброкачественной водой</w:t>
      </w:r>
      <w:r w:rsidR="004A18A4" w:rsidRPr="005E38B5">
        <w:rPr>
          <w:rFonts w:cstheme="minorHAnsi"/>
          <w:sz w:val="20"/>
          <w:szCs w:val="20"/>
        </w:rPr>
        <w:t>)</w:t>
      </w:r>
      <w:r w:rsidR="007C05C2" w:rsidRPr="005E38B5">
        <w:rPr>
          <w:rFonts w:cstheme="minorHAnsi"/>
          <w:sz w:val="20"/>
          <w:szCs w:val="20"/>
        </w:rPr>
        <w:t>. Из 11 населенных пунктов, где проживает 7</w:t>
      </w:r>
      <w:r w:rsidR="005E38B5">
        <w:rPr>
          <w:rFonts w:cstheme="minorHAnsi"/>
          <w:sz w:val="20"/>
          <w:szCs w:val="20"/>
        </w:rPr>
        <w:t xml:space="preserve"> </w:t>
      </w:r>
      <w:r w:rsidR="007C05C2" w:rsidRPr="005E38B5">
        <w:rPr>
          <w:rFonts w:cstheme="minorHAnsi"/>
          <w:sz w:val="20"/>
          <w:szCs w:val="20"/>
        </w:rPr>
        <w:t>484 чел. и организован подвоз воды, только пять поселений обеспечено доброкачественной привозной питьевой водой.</w:t>
      </w:r>
    </w:p>
    <w:p w:rsidR="004306C0" w:rsidRPr="005E38B5" w:rsidRDefault="007860FC" w:rsidP="005E38B5">
      <w:pPr>
        <w:spacing w:line="240" w:lineRule="auto"/>
        <w:ind w:firstLine="567"/>
        <w:contextualSpacing/>
        <w:jc w:val="both"/>
        <w:rPr>
          <w:rFonts w:cstheme="minorHAnsi"/>
          <w:sz w:val="20"/>
          <w:szCs w:val="20"/>
        </w:rPr>
      </w:pPr>
      <w:r w:rsidRPr="005E38B5">
        <w:rPr>
          <w:rFonts w:cstheme="minorHAnsi"/>
          <w:sz w:val="20"/>
          <w:szCs w:val="20"/>
        </w:rPr>
        <w:t>Основными причинами неудовлетворительного качества питьевых вод продолжают оставаться: природные факторы (цветность, мутность</w:t>
      </w:r>
      <w:r w:rsidR="00DD7BB0" w:rsidRPr="005E38B5">
        <w:rPr>
          <w:rFonts w:cstheme="minorHAnsi"/>
          <w:sz w:val="20"/>
          <w:szCs w:val="20"/>
        </w:rPr>
        <w:t>, концентрации отдельных элементов</w:t>
      </w:r>
      <w:r w:rsidRPr="005E38B5">
        <w:rPr>
          <w:rFonts w:cstheme="minorHAnsi"/>
          <w:sz w:val="20"/>
          <w:szCs w:val="20"/>
        </w:rPr>
        <w:t xml:space="preserve">), антропогенное загрязнение поверхностных и подземных вод, </w:t>
      </w:r>
      <w:r w:rsidR="00DD7BB0" w:rsidRPr="005E38B5">
        <w:rPr>
          <w:rFonts w:cstheme="minorHAnsi"/>
          <w:sz w:val="20"/>
          <w:szCs w:val="20"/>
        </w:rPr>
        <w:t xml:space="preserve">несовершенная система </w:t>
      </w:r>
      <w:r w:rsidR="00BC0101" w:rsidRPr="005E38B5">
        <w:rPr>
          <w:rFonts w:cstheme="minorHAnsi"/>
          <w:sz w:val="20"/>
          <w:szCs w:val="20"/>
        </w:rPr>
        <w:t xml:space="preserve">водоочистных сооружений и устаревшие технологи водоподготовки, либо их полное </w:t>
      </w:r>
      <w:r w:rsidRPr="005E38B5">
        <w:rPr>
          <w:rFonts w:cstheme="minorHAnsi"/>
          <w:sz w:val="20"/>
          <w:szCs w:val="20"/>
        </w:rPr>
        <w:t>отсутствие, низкое санитарно-техническое состояние водопроводных сетей и сооружений</w:t>
      </w:r>
      <w:r w:rsidR="00BC0101" w:rsidRPr="005E38B5">
        <w:rPr>
          <w:rFonts w:cstheme="minorHAnsi"/>
          <w:sz w:val="20"/>
          <w:szCs w:val="20"/>
        </w:rPr>
        <w:t>.</w:t>
      </w:r>
    </w:p>
    <w:p w:rsidR="004306C0" w:rsidRDefault="005E38B5" w:rsidP="005E38B5">
      <w:pPr>
        <w:spacing w:line="240" w:lineRule="auto"/>
        <w:ind w:firstLine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 Т</w:t>
      </w:r>
      <w:r w:rsidR="004306C0" w:rsidRPr="005E38B5">
        <w:rPr>
          <w:rFonts w:cstheme="minorHAnsi"/>
          <w:sz w:val="20"/>
          <w:szCs w:val="20"/>
        </w:rPr>
        <w:t>абл.</w:t>
      </w:r>
      <w:r w:rsidR="008430A3" w:rsidRPr="005E38B5">
        <w:rPr>
          <w:rFonts w:cstheme="minorHAnsi"/>
          <w:sz w:val="20"/>
          <w:szCs w:val="20"/>
        </w:rPr>
        <w:t xml:space="preserve"> 2</w:t>
      </w:r>
      <w:r w:rsidR="00CE2555" w:rsidRPr="005E38B5">
        <w:rPr>
          <w:rFonts w:cstheme="minorHAnsi"/>
          <w:sz w:val="20"/>
          <w:szCs w:val="20"/>
        </w:rPr>
        <w:t xml:space="preserve"> представлены данные о</w:t>
      </w:r>
      <w:r w:rsidR="004306C0" w:rsidRPr="005E38B5">
        <w:rPr>
          <w:rFonts w:cstheme="minorHAnsi"/>
          <w:sz w:val="20"/>
          <w:szCs w:val="20"/>
        </w:rPr>
        <w:t xml:space="preserve"> </w:t>
      </w:r>
      <w:r w:rsidR="00CE2555" w:rsidRPr="005E38B5">
        <w:rPr>
          <w:rFonts w:cstheme="minorHAnsi"/>
          <w:sz w:val="20"/>
          <w:szCs w:val="20"/>
        </w:rPr>
        <w:t>качестве</w:t>
      </w:r>
      <w:r w:rsidR="004306C0" w:rsidRPr="005E38B5">
        <w:rPr>
          <w:rFonts w:cstheme="minorHAnsi"/>
          <w:sz w:val="20"/>
          <w:szCs w:val="20"/>
        </w:rPr>
        <w:t xml:space="preserve"> питьевой воды в субъектах федерации Дальневосточного федерального округа по санитарно-химическим показателям в 2014 г.</w:t>
      </w:r>
    </w:p>
    <w:p w:rsidR="005E38B5" w:rsidRPr="005E38B5" w:rsidRDefault="005E38B5" w:rsidP="005E38B5">
      <w:pPr>
        <w:spacing w:line="240" w:lineRule="auto"/>
        <w:ind w:firstLine="567"/>
        <w:contextualSpacing/>
        <w:jc w:val="both"/>
        <w:rPr>
          <w:rFonts w:cstheme="minorHAnsi"/>
          <w:sz w:val="20"/>
          <w:szCs w:val="20"/>
        </w:rPr>
      </w:pPr>
    </w:p>
    <w:p w:rsidR="004306C0" w:rsidRPr="005E38B5" w:rsidRDefault="004306C0" w:rsidP="005E38B5">
      <w:pPr>
        <w:spacing w:line="240" w:lineRule="auto"/>
        <w:ind w:firstLine="567"/>
        <w:contextualSpacing/>
        <w:rPr>
          <w:rFonts w:cstheme="minorHAnsi"/>
          <w:sz w:val="20"/>
          <w:szCs w:val="20"/>
        </w:rPr>
      </w:pPr>
      <w:r w:rsidRPr="005E38B5">
        <w:rPr>
          <w:rFonts w:cstheme="minorHAnsi"/>
          <w:sz w:val="20"/>
          <w:szCs w:val="20"/>
        </w:rPr>
        <w:t xml:space="preserve">Таблица </w:t>
      </w:r>
      <w:r w:rsidR="008430A3" w:rsidRPr="005E38B5">
        <w:rPr>
          <w:rFonts w:cstheme="minorHAnsi"/>
          <w:sz w:val="20"/>
          <w:szCs w:val="20"/>
        </w:rPr>
        <w:t>2.</w:t>
      </w:r>
      <w:r w:rsidRPr="005E38B5">
        <w:rPr>
          <w:rFonts w:cstheme="minorHAnsi"/>
          <w:sz w:val="20"/>
          <w:szCs w:val="20"/>
        </w:rPr>
        <w:t xml:space="preserve"> Качество питьевой воды в регионах ДВФО (</w:t>
      </w:r>
      <w:r w:rsidR="004A18A4" w:rsidRPr="005E38B5">
        <w:rPr>
          <w:rFonts w:cstheme="minorHAnsi"/>
          <w:sz w:val="20"/>
          <w:szCs w:val="20"/>
        </w:rPr>
        <w:t>по: Государственный</w:t>
      </w:r>
      <w:r w:rsidRPr="005E38B5">
        <w:rPr>
          <w:rFonts w:cstheme="minorHAnsi"/>
          <w:sz w:val="20"/>
          <w:szCs w:val="20"/>
        </w:rPr>
        <w:t xml:space="preserve"> доклад …, 2015)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3"/>
        <w:gridCol w:w="1012"/>
        <w:gridCol w:w="3922"/>
        <w:gridCol w:w="1007"/>
      </w:tblGrid>
      <w:tr w:rsidR="004306C0" w:rsidRPr="005E38B5" w:rsidTr="00E97FAA">
        <w:tc>
          <w:tcPr>
            <w:tcW w:w="4952" w:type="dxa"/>
            <w:gridSpan w:val="2"/>
          </w:tcPr>
          <w:p w:rsidR="004306C0" w:rsidRPr="005E38B5" w:rsidRDefault="004306C0" w:rsidP="005E38B5">
            <w:pPr>
              <w:contextualSpacing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lastRenderedPageBreak/>
              <w:t>Доля проб питьевой воды в распределительных сетях, не соответствующая нормативам, %</w:t>
            </w:r>
          </w:p>
        </w:tc>
        <w:tc>
          <w:tcPr>
            <w:tcW w:w="4953" w:type="dxa"/>
            <w:gridSpan w:val="2"/>
          </w:tcPr>
          <w:p w:rsidR="004306C0" w:rsidRPr="005E38B5" w:rsidRDefault="004306C0" w:rsidP="005E38B5">
            <w:pPr>
              <w:contextualSpacing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Доля проб питьевой воды в нецентрализованной системе водоснабжения, не соответствующая нормативам, %</w:t>
            </w:r>
          </w:p>
        </w:tc>
      </w:tr>
      <w:tr w:rsidR="004306C0" w:rsidRPr="005E38B5" w:rsidTr="00E97FAA">
        <w:tc>
          <w:tcPr>
            <w:tcW w:w="393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Чукотский автономный округ</w:t>
            </w:r>
          </w:p>
        </w:tc>
        <w:tc>
          <w:tcPr>
            <w:tcW w:w="101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51,2</w:t>
            </w:r>
          </w:p>
        </w:tc>
        <w:tc>
          <w:tcPr>
            <w:tcW w:w="3945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Приморский край</w:t>
            </w:r>
          </w:p>
        </w:tc>
        <w:tc>
          <w:tcPr>
            <w:tcW w:w="1008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40,2</w:t>
            </w:r>
          </w:p>
        </w:tc>
      </w:tr>
      <w:tr w:rsidR="004306C0" w:rsidRPr="005E38B5" w:rsidTr="00E97FAA">
        <w:tc>
          <w:tcPr>
            <w:tcW w:w="393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Республика Саха (Якутия)</w:t>
            </w:r>
          </w:p>
        </w:tc>
        <w:tc>
          <w:tcPr>
            <w:tcW w:w="101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40,5</w:t>
            </w:r>
          </w:p>
        </w:tc>
        <w:tc>
          <w:tcPr>
            <w:tcW w:w="3945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Чукотский автономный округ</w:t>
            </w:r>
          </w:p>
        </w:tc>
        <w:tc>
          <w:tcPr>
            <w:tcW w:w="1008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36,2</w:t>
            </w:r>
          </w:p>
        </w:tc>
      </w:tr>
      <w:tr w:rsidR="004306C0" w:rsidRPr="005E38B5" w:rsidTr="00E97FAA">
        <w:tc>
          <w:tcPr>
            <w:tcW w:w="393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 xml:space="preserve">Приморский край </w:t>
            </w:r>
          </w:p>
        </w:tc>
        <w:tc>
          <w:tcPr>
            <w:tcW w:w="101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31,6</w:t>
            </w:r>
          </w:p>
        </w:tc>
        <w:tc>
          <w:tcPr>
            <w:tcW w:w="3945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Хабаровский край</w:t>
            </w:r>
          </w:p>
        </w:tc>
        <w:tc>
          <w:tcPr>
            <w:tcW w:w="1008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35,1</w:t>
            </w:r>
          </w:p>
        </w:tc>
      </w:tr>
      <w:tr w:rsidR="004306C0" w:rsidRPr="005E38B5" w:rsidTr="00E97FAA">
        <w:tc>
          <w:tcPr>
            <w:tcW w:w="393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Амурская область</w:t>
            </w:r>
          </w:p>
        </w:tc>
        <w:tc>
          <w:tcPr>
            <w:tcW w:w="101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29,0</w:t>
            </w:r>
          </w:p>
        </w:tc>
        <w:tc>
          <w:tcPr>
            <w:tcW w:w="3945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Амурская область</w:t>
            </w:r>
          </w:p>
        </w:tc>
        <w:tc>
          <w:tcPr>
            <w:tcW w:w="1008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31,3</w:t>
            </w:r>
          </w:p>
        </w:tc>
      </w:tr>
      <w:tr w:rsidR="004306C0" w:rsidRPr="005E38B5" w:rsidTr="00E97FAA">
        <w:tc>
          <w:tcPr>
            <w:tcW w:w="393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Магаданская область</w:t>
            </w:r>
          </w:p>
        </w:tc>
        <w:tc>
          <w:tcPr>
            <w:tcW w:w="101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27,3</w:t>
            </w:r>
          </w:p>
        </w:tc>
        <w:tc>
          <w:tcPr>
            <w:tcW w:w="3945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Республика Саха (Якутия)</w:t>
            </w:r>
          </w:p>
        </w:tc>
        <w:tc>
          <w:tcPr>
            <w:tcW w:w="1008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23,7</w:t>
            </w:r>
          </w:p>
        </w:tc>
      </w:tr>
      <w:tr w:rsidR="004306C0" w:rsidRPr="005E38B5" w:rsidTr="00E97FAA">
        <w:tc>
          <w:tcPr>
            <w:tcW w:w="393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Сахалинская область</w:t>
            </w:r>
          </w:p>
        </w:tc>
        <w:tc>
          <w:tcPr>
            <w:tcW w:w="101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21,2</w:t>
            </w:r>
          </w:p>
        </w:tc>
        <w:tc>
          <w:tcPr>
            <w:tcW w:w="3945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Еврейская автономная область</w:t>
            </w:r>
          </w:p>
        </w:tc>
        <w:tc>
          <w:tcPr>
            <w:tcW w:w="1008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19,9</w:t>
            </w:r>
          </w:p>
        </w:tc>
      </w:tr>
      <w:tr w:rsidR="004306C0" w:rsidRPr="005E38B5" w:rsidTr="00E97FAA">
        <w:tc>
          <w:tcPr>
            <w:tcW w:w="393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Хабаровский край</w:t>
            </w:r>
          </w:p>
        </w:tc>
        <w:tc>
          <w:tcPr>
            <w:tcW w:w="101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18,1</w:t>
            </w:r>
          </w:p>
        </w:tc>
        <w:tc>
          <w:tcPr>
            <w:tcW w:w="3945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Сахалинская область</w:t>
            </w:r>
          </w:p>
        </w:tc>
        <w:tc>
          <w:tcPr>
            <w:tcW w:w="1008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8,8</w:t>
            </w:r>
          </w:p>
        </w:tc>
      </w:tr>
      <w:tr w:rsidR="004306C0" w:rsidRPr="005E38B5" w:rsidTr="00E97FAA">
        <w:tc>
          <w:tcPr>
            <w:tcW w:w="393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Еврейская автономная область</w:t>
            </w:r>
          </w:p>
        </w:tc>
        <w:tc>
          <w:tcPr>
            <w:tcW w:w="101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8,8</w:t>
            </w:r>
          </w:p>
        </w:tc>
        <w:tc>
          <w:tcPr>
            <w:tcW w:w="3945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Камчатский край</w:t>
            </w:r>
          </w:p>
        </w:tc>
        <w:tc>
          <w:tcPr>
            <w:tcW w:w="1008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0,0</w:t>
            </w:r>
          </w:p>
        </w:tc>
      </w:tr>
      <w:tr w:rsidR="004306C0" w:rsidRPr="005E38B5" w:rsidTr="00E97FAA">
        <w:tc>
          <w:tcPr>
            <w:tcW w:w="393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Камчатский край</w:t>
            </w:r>
          </w:p>
        </w:tc>
        <w:tc>
          <w:tcPr>
            <w:tcW w:w="1016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3945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 xml:space="preserve">Магаданская область </w:t>
            </w:r>
            <w:r w:rsidRPr="005E38B5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1008" w:type="dxa"/>
          </w:tcPr>
          <w:p w:rsidR="004306C0" w:rsidRPr="005E38B5" w:rsidRDefault="004306C0" w:rsidP="005E38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E38B5">
              <w:rPr>
                <w:rFonts w:asciiTheme="minorHAnsi" w:hAnsiTheme="minorHAnsi" w:cstheme="minorHAnsi"/>
              </w:rPr>
              <w:t>нет данных</w:t>
            </w:r>
          </w:p>
        </w:tc>
      </w:tr>
    </w:tbl>
    <w:p w:rsidR="004306C0" w:rsidRDefault="004306C0" w:rsidP="005E38B5">
      <w:pPr>
        <w:spacing w:line="240" w:lineRule="auto"/>
        <w:ind w:firstLine="567"/>
        <w:contextualSpacing/>
        <w:jc w:val="both"/>
        <w:rPr>
          <w:rFonts w:cstheme="minorHAnsi"/>
          <w:sz w:val="20"/>
          <w:szCs w:val="20"/>
        </w:rPr>
      </w:pPr>
      <w:r w:rsidRPr="005E38B5">
        <w:rPr>
          <w:rFonts w:cstheme="minorHAnsi"/>
          <w:sz w:val="20"/>
          <w:szCs w:val="20"/>
          <w:vertAlign w:val="superscript"/>
        </w:rPr>
        <w:t>1</w:t>
      </w:r>
      <w:r w:rsidRPr="005E38B5">
        <w:rPr>
          <w:rFonts w:cstheme="minorHAnsi"/>
          <w:sz w:val="20"/>
          <w:szCs w:val="20"/>
        </w:rPr>
        <w:t>В Магаданской области за 2013 г. (очень водный, с высокими паводками) доля неудовлетворительных проб составляла 62,5%.</w:t>
      </w:r>
    </w:p>
    <w:p w:rsidR="005E38B5" w:rsidRPr="005E38B5" w:rsidRDefault="005E38B5" w:rsidP="005E38B5">
      <w:pPr>
        <w:spacing w:line="240" w:lineRule="auto"/>
        <w:ind w:firstLine="567"/>
        <w:contextualSpacing/>
        <w:jc w:val="both"/>
        <w:rPr>
          <w:rFonts w:cstheme="minorHAnsi"/>
          <w:sz w:val="20"/>
          <w:szCs w:val="20"/>
        </w:rPr>
      </w:pPr>
    </w:p>
    <w:p w:rsidR="004306C0" w:rsidRPr="005E38B5" w:rsidRDefault="004306C0" w:rsidP="005E38B5">
      <w:pPr>
        <w:spacing w:line="240" w:lineRule="auto"/>
        <w:ind w:firstLine="567"/>
        <w:contextualSpacing/>
        <w:jc w:val="both"/>
        <w:rPr>
          <w:rFonts w:cstheme="minorHAnsi"/>
          <w:sz w:val="20"/>
          <w:szCs w:val="20"/>
        </w:rPr>
      </w:pPr>
      <w:r w:rsidRPr="005E38B5">
        <w:rPr>
          <w:rFonts w:cstheme="minorHAnsi"/>
          <w:sz w:val="20"/>
          <w:szCs w:val="20"/>
        </w:rPr>
        <w:t>Как следует из данных таблицы, самую чистую воду пьет население Камчатского края. Кроме Р</w:t>
      </w:r>
      <w:r w:rsidR="0080309A" w:rsidRPr="005E38B5">
        <w:rPr>
          <w:rFonts w:cstheme="minorHAnsi"/>
          <w:sz w:val="20"/>
          <w:szCs w:val="20"/>
        </w:rPr>
        <w:t xml:space="preserve">еспублики </w:t>
      </w:r>
      <w:r w:rsidRPr="005E38B5">
        <w:rPr>
          <w:rFonts w:cstheme="minorHAnsi"/>
          <w:sz w:val="20"/>
          <w:szCs w:val="20"/>
        </w:rPr>
        <w:t>С</w:t>
      </w:r>
      <w:r w:rsidR="0080309A" w:rsidRPr="005E38B5">
        <w:rPr>
          <w:rFonts w:cstheme="minorHAnsi"/>
          <w:sz w:val="20"/>
          <w:szCs w:val="20"/>
        </w:rPr>
        <w:t>аха</w:t>
      </w:r>
      <w:r w:rsidR="00E3174C">
        <w:rPr>
          <w:rFonts w:cstheme="minorHAnsi"/>
          <w:sz w:val="20"/>
          <w:szCs w:val="20"/>
        </w:rPr>
        <w:t xml:space="preserve"> </w:t>
      </w:r>
      <w:r w:rsidRPr="005E38B5">
        <w:rPr>
          <w:rFonts w:cstheme="minorHAnsi"/>
          <w:sz w:val="20"/>
          <w:szCs w:val="20"/>
        </w:rPr>
        <w:t>(Я</w:t>
      </w:r>
      <w:r w:rsidR="0080309A" w:rsidRPr="005E38B5">
        <w:rPr>
          <w:rFonts w:cstheme="minorHAnsi"/>
          <w:sz w:val="20"/>
          <w:szCs w:val="20"/>
        </w:rPr>
        <w:t>кутия</w:t>
      </w:r>
      <w:r w:rsidRPr="005E38B5">
        <w:rPr>
          <w:rFonts w:cstheme="minorHAnsi"/>
          <w:sz w:val="20"/>
          <w:szCs w:val="20"/>
        </w:rPr>
        <w:t>), еще более высокий показатель по числу неудовлетворительных проб воды из водопровода имеет Чукотский автономный округ. Правда, в ЧАО питьевая вода из нецентрализованных источников водоснабжения по санитарно-химическим показателям выглядит несколько лучше, чем из распределительной сети. По РФ доля проб, не отвечающих гигиеническим требованиям по санитарно-химическим показателям, в 2014 г. составляла 16,3%.</w:t>
      </w:r>
    </w:p>
    <w:p w:rsidR="00CE2555" w:rsidRPr="005E38B5" w:rsidRDefault="00CE2555" w:rsidP="005E38B5">
      <w:pPr>
        <w:spacing w:line="240" w:lineRule="auto"/>
        <w:ind w:firstLine="567"/>
        <w:contextualSpacing/>
        <w:jc w:val="both"/>
        <w:rPr>
          <w:rFonts w:cstheme="minorHAnsi"/>
          <w:sz w:val="20"/>
          <w:szCs w:val="20"/>
        </w:rPr>
      </w:pPr>
      <w:r w:rsidRPr="005E38B5">
        <w:rPr>
          <w:rFonts w:cstheme="minorHAnsi"/>
          <w:sz w:val="20"/>
          <w:szCs w:val="20"/>
        </w:rPr>
        <w:t>Согласно данным Минвостокразвития (2013) и статистике самая низкая продолжительность жизни по России, выявленная у дальневосточников (в среднем около 68 лет), связана в основном с тремя категориями заболеваний – злокачественными образованиями, болезнями системы кровообращения и органов пищеварения. Совет по природным ресурсам и охране окружающей среды</w:t>
      </w:r>
      <w:r w:rsidR="007B2BC5" w:rsidRPr="005E38B5">
        <w:rPr>
          <w:rFonts w:cstheme="minorHAnsi"/>
          <w:sz w:val="20"/>
          <w:szCs w:val="20"/>
        </w:rPr>
        <w:t xml:space="preserve"> при Минвостокразвитии России обозначил экологическую проблему, влияющую на здоровье и продолжительность жизни жителей ДВФО </w:t>
      </w:r>
      <w:r w:rsidR="00E3174C">
        <w:rPr>
          <w:rFonts w:cstheme="minorHAnsi"/>
          <w:sz w:val="20"/>
          <w:szCs w:val="20"/>
        </w:rPr>
        <w:t>–</w:t>
      </w:r>
      <w:r w:rsidR="007B2BC5" w:rsidRPr="005E38B5">
        <w:rPr>
          <w:rFonts w:cstheme="minorHAnsi"/>
          <w:sz w:val="20"/>
          <w:szCs w:val="20"/>
        </w:rPr>
        <w:t xml:space="preserve"> это загрязнение атмосферного воздуха и водных объектов региона (</w:t>
      </w:r>
      <w:r w:rsidR="007B2BC5" w:rsidRPr="005E38B5">
        <w:rPr>
          <w:rFonts w:cstheme="minorHAnsi"/>
          <w:sz w:val="20"/>
          <w:szCs w:val="20"/>
          <w:lang w:val="en-US"/>
        </w:rPr>
        <w:t>http</w:t>
      </w:r>
      <w:r w:rsidR="007B2BC5" w:rsidRPr="005E38B5">
        <w:rPr>
          <w:rFonts w:cstheme="minorHAnsi"/>
          <w:sz w:val="20"/>
          <w:szCs w:val="20"/>
        </w:rPr>
        <w:t>://</w:t>
      </w:r>
      <w:r w:rsidR="007B2BC5" w:rsidRPr="005E38B5">
        <w:rPr>
          <w:rFonts w:cstheme="minorHAnsi"/>
          <w:sz w:val="20"/>
          <w:szCs w:val="20"/>
          <w:lang w:val="en-US"/>
        </w:rPr>
        <w:t>news</w:t>
      </w:r>
      <w:r w:rsidR="007B2BC5" w:rsidRPr="005E38B5">
        <w:rPr>
          <w:rFonts w:cstheme="minorHAnsi"/>
          <w:sz w:val="20"/>
          <w:szCs w:val="20"/>
        </w:rPr>
        <w:t>.</w:t>
      </w:r>
      <w:r w:rsidR="007B2BC5" w:rsidRPr="005E38B5">
        <w:rPr>
          <w:rFonts w:cstheme="minorHAnsi"/>
          <w:sz w:val="20"/>
          <w:szCs w:val="20"/>
          <w:lang w:val="en-US"/>
        </w:rPr>
        <w:t>mail</w:t>
      </w:r>
      <w:r w:rsidR="007B2BC5" w:rsidRPr="005E38B5">
        <w:rPr>
          <w:rFonts w:cstheme="minorHAnsi"/>
          <w:sz w:val="20"/>
          <w:szCs w:val="20"/>
        </w:rPr>
        <w:t>.</w:t>
      </w:r>
      <w:r w:rsidR="007B2BC5" w:rsidRPr="005E38B5">
        <w:rPr>
          <w:rFonts w:cstheme="minorHAnsi"/>
          <w:sz w:val="20"/>
          <w:szCs w:val="20"/>
          <w:lang w:val="en-US"/>
        </w:rPr>
        <w:t>ru</w:t>
      </w:r>
      <w:r w:rsidR="007B2BC5" w:rsidRPr="005E38B5">
        <w:rPr>
          <w:rFonts w:cstheme="minorHAnsi"/>
          <w:sz w:val="20"/>
          <w:szCs w:val="20"/>
        </w:rPr>
        <w:t>/</w:t>
      </w:r>
      <w:r w:rsidR="007B2BC5" w:rsidRPr="005E38B5">
        <w:rPr>
          <w:rFonts w:cstheme="minorHAnsi"/>
          <w:sz w:val="20"/>
          <w:szCs w:val="20"/>
          <w:lang w:val="en-US"/>
        </w:rPr>
        <w:t>inregions</w:t>
      </w:r>
      <w:r w:rsidR="007B2BC5" w:rsidRPr="005E38B5">
        <w:rPr>
          <w:rFonts w:cstheme="minorHAnsi"/>
          <w:sz w:val="20"/>
          <w:szCs w:val="20"/>
        </w:rPr>
        <w:t>/</w:t>
      </w:r>
      <w:r w:rsidR="007B2BC5" w:rsidRPr="005E38B5">
        <w:rPr>
          <w:rFonts w:cstheme="minorHAnsi"/>
          <w:sz w:val="20"/>
          <w:szCs w:val="20"/>
          <w:lang w:val="en-US"/>
        </w:rPr>
        <w:t>fareast</w:t>
      </w:r>
      <w:r w:rsidR="007B2BC5" w:rsidRPr="005E38B5">
        <w:rPr>
          <w:rFonts w:cstheme="minorHAnsi"/>
          <w:sz w:val="20"/>
          <w:szCs w:val="20"/>
        </w:rPr>
        <w:t>/25/</w:t>
      </w:r>
      <w:r w:rsidR="007B2BC5" w:rsidRPr="005E38B5">
        <w:rPr>
          <w:rFonts w:cstheme="minorHAnsi"/>
          <w:sz w:val="20"/>
          <w:szCs w:val="20"/>
          <w:lang w:val="en-US"/>
        </w:rPr>
        <w:t>society</w:t>
      </w:r>
      <w:r w:rsidR="007B2BC5" w:rsidRPr="005E38B5">
        <w:rPr>
          <w:rFonts w:cstheme="minorHAnsi"/>
          <w:sz w:val="20"/>
          <w:szCs w:val="20"/>
        </w:rPr>
        <w:t>).</w:t>
      </w:r>
    </w:p>
    <w:p w:rsidR="00E4144E" w:rsidRDefault="00E4144E" w:rsidP="005E38B5">
      <w:pPr>
        <w:ind w:firstLine="567"/>
        <w:contextualSpacing/>
        <w:rPr>
          <w:rFonts w:cstheme="minorHAnsi"/>
          <w:sz w:val="20"/>
          <w:szCs w:val="20"/>
        </w:rPr>
      </w:pPr>
    </w:p>
    <w:p w:rsidR="00E36254" w:rsidRDefault="00E36254" w:rsidP="00492824">
      <w:pPr>
        <w:spacing w:line="240" w:lineRule="auto"/>
        <w:ind w:firstLine="567"/>
        <w:contextualSpacing/>
        <w:rPr>
          <w:rFonts w:cstheme="minorHAnsi"/>
          <w:sz w:val="20"/>
          <w:szCs w:val="20"/>
        </w:rPr>
      </w:pPr>
    </w:p>
    <w:p w:rsidR="00492824" w:rsidRDefault="00492824" w:rsidP="00492824">
      <w:pPr>
        <w:spacing w:line="240" w:lineRule="auto"/>
        <w:contextualSpacing/>
        <w:jc w:val="center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 xml:space="preserve">WHAT KIND OF WATER ARE WE DRINKING? </w:t>
      </w:r>
    </w:p>
    <w:p w:rsidR="00492824" w:rsidRDefault="00492824" w:rsidP="00492824">
      <w:pPr>
        <w:spacing w:line="240" w:lineRule="auto"/>
        <w:contextualSpacing/>
        <w:rPr>
          <w:rFonts w:cstheme="minorHAnsi"/>
          <w:b/>
          <w:sz w:val="20"/>
          <w:szCs w:val="20"/>
          <w:lang w:val="en-US"/>
        </w:rPr>
      </w:pPr>
    </w:p>
    <w:p w:rsidR="00492824" w:rsidRDefault="00492824" w:rsidP="00492824">
      <w:pPr>
        <w:spacing w:line="240" w:lineRule="auto"/>
        <w:contextualSpacing/>
        <w:jc w:val="center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KHRISTOFOROVA </w:t>
      </w:r>
      <w:proofErr w:type="spellStart"/>
      <w:r>
        <w:rPr>
          <w:rFonts w:cstheme="minorHAnsi"/>
          <w:sz w:val="20"/>
          <w:szCs w:val="20"/>
          <w:lang w:val="en-US"/>
        </w:rPr>
        <w:t>Nadezhda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Konstantinovna</w:t>
      </w:r>
      <w:proofErr w:type="spellEnd"/>
    </w:p>
    <w:p w:rsidR="00492824" w:rsidRDefault="00492824" w:rsidP="00492824">
      <w:pPr>
        <w:spacing w:line="240" w:lineRule="auto"/>
        <w:contextualSpacing/>
        <w:jc w:val="center"/>
        <w:rPr>
          <w:rFonts w:cstheme="minorHAnsi"/>
          <w:i/>
          <w:sz w:val="20"/>
          <w:szCs w:val="20"/>
          <w:lang w:val="en-US"/>
        </w:rPr>
      </w:pPr>
      <w:r>
        <w:rPr>
          <w:rFonts w:cstheme="minorHAnsi"/>
          <w:i/>
          <w:sz w:val="20"/>
          <w:szCs w:val="20"/>
          <w:lang w:val="en-US"/>
        </w:rPr>
        <w:t>Far Eastern Federal University, Vladivostok</w:t>
      </w:r>
    </w:p>
    <w:p w:rsidR="00492824" w:rsidRDefault="00492824" w:rsidP="00492824">
      <w:pPr>
        <w:spacing w:line="240" w:lineRule="auto"/>
        <w:contextualSpacing/>
        <w:jc w:val="center"/>
        <w:rPr>
          <w:rFonts w:cstheme="minorHAnsi"/>
          <w:i/>
          <w:sz w:val="20"/>
          <w:szCs w:val="20"/>
          <w:lang w:val="en-US"/>
        </w:rPr>
      </w:pPr>
      <w:r>
        <w:rPr>
          <w:rFonts w:cstheme="minorHAnsi"/>
          <w:i/>
          <w:sz w:val="20"/>
          <w:szCs w:val="20"/>
          <w:lang w:val="en-US"/>
        </w:rPr>
        <w:t>Pacific Institute of Geography, FEB RAS, Vladivostok</w:t>
      </w:r>
      <w:bookmarkStart w:id="0" w:name="_GoBack"/>
      <w:bookmarkEnd w:id="0"/>
    </w:p>
    <w:sectPr w:rsidR="00492824" w:rsidSect="005E38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23"/>
    <w:rsid w:val="000307DA"/>
    <w:rsid w:val="00031442"/>
    <w:rsid w:val="000A1175"/>
    <w:rsid w:val="00104A44"/>
    <w:rsid w:val="00227360"/>
    <w:rsid w:val="003406DF"/>
    <w:rsid w:val="00372CFE"/>
    <w:rsid w:val="004306C0"/>
    <w:rsid w:val="00462B40"/>
    <w:rsid w:val="00492824"/>
    <w:rsid w:val="004A18A4"/>
    <w:rsid w:val="005D18C9"/>
    <w:rsid w:val="005E38B5"/>
    <w:rsid w:val="006D6CF2"/>
    <w:rsid w:val="007860FC"/>
    <w:rsid w:val="007A5823"/>
    <w:rsid w:val="007B2BC5"/>
    <w:rsid w:val="007C05C2"/>
    <w:rsid w:val="0080309A"/>
    <w:rsid w:val="008430A3"/>
    <w:rsid w:val="008525FD"/>
    <w:rsid w:val="00AA3108"/>
    <w:rsid w:val="00AD1E21"/>
    <w:rsid w:val="00AF52D4"/>
    <w:rsid w:val="00B23C3C"/>
    <w:rsid w:val="00BC0101"/>
    <w:rsid w:val="00C53328"/>
    <w:rsid w:val="00C8033B"/>
    <w:rsid w:val="00C875FE"/>
    <w:rsid w:val="00CA5D26"/>
    <w:rsid w:val="00CB4E7B"/>
    <w:rsid w:val="00CD5D24"/>
    <w:rsid w:val="00CE2555"/>
    <w:rsid w:val="00D77EB1"/>
    <w:rsid w:val="00DD7BB0"/>
    <w:rsid w:val="00E3174C"/>
    <w:rsid w:val="00E345AF"/>
    <w:rsid w:val="00E36254"/>
    <w:rsid w:val="00E4144E"/>
    <w:rsid w:val="00F31CEA"/>
    <w:rsid w:val="00F347DE"/>
    <w:rsid w:val="00F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C308C-9A3F-421E-B6B7-1675D362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6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Христофорова Надежда Константиновна</dc:creator>
  <cp:keywords/>
  <dc:description/>
  <cp:lastModifiedBy>DNS</cp:lastModifiedBy>
  <cp:revision>2</cp:revision>
  <dcterms:created xsi:type="dcterms:W3CDTF">2016-11-22T04:31:00Z</dcterms:created>
  <dcterms:modified xsi:type="dcterms:W3CDTF">2016-11-22T04:31:00Z</dcterms:modified>
</cp:coreProperties>
</file>