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91CB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91CB2" w:rsidRDefault="00EB35E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CB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91CB2" w:rsidRDefault="00EB35E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Сахалинской области от 02.10.2019 N 450</w:t>
            </w:r>
            <w:r>
              <w:rPr>
                <w:sz w:val="48"/>
              </w:rPr>
              <w:br/>
              <w:t>(ред. от 21.07.2022)</w:t>
            </w:r>
            <w:r>
              <w:rPr>
                <w:sz w:val="48"/>
              </w:rPr>
              <w:br/>
              <w:t>"Об утверждении Положения о проведении ежегодного областного конкурса "Благотворитель Сахалинской области"</w:t>
            </w:r>
          </w:p>
        </w:tc>
      </w:tr>
      <w:tr w:rsidR="00391CB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91CB2" w:rsidRDefault="00EB35E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391CB2" w:rsidRDefault="00391CB2">
      <w:pPr>
        <w:pStyle w:val="ConsPlusNormal0"/>
        <w:sectPr w:rsidR="00391CB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91CB2" w:rsidRDefault="00391CB2">
      <w:pPr>
        <w:pStyle w:val="ConsPlusNormal0"/>
        <w:outlineLvl w:val="0"/>
      </w:pPr>
    </w:p>
    <w:p w:rsidR="00391CB2" w:rsidRDefault="00EB35EF">
      <w:pPr>
        <w:pStyle w:val="ConsPlusTitle0"/>
        <w:jc w:val="center"/>
        <w:outlineLvl w:val="0"/>
      </w:pPr>
      <w:r>
        <w:t>ПРАВИТЕЛЬСТВО САХАЛИНСКОЙ ОБЛАСТИ</w:t>
      </w:r>
    </w:p>
    <w:p w:rsidR="00391CB2" w:rsidRDefault="00391CB2">
      <w:pPr>
        <w:pStyle w:val="ConsPlusTitle0"/>
        <w:jc w:val="center"/>
      </w:pPr>
    </w:p>
    <w:p w:rsidR="00391CB2" w:rsidRDefault="00EB35EF">
      <w:pPr>
        <w:pStyle w:val="ConsPlusTitle0"/>
        <w:jc w:val="center"/>
      </w:pPr>
      <w:r>
        <w:t>ПОСТАНОВЛЕНИЕ</w:t>
      </w:r>
    </w:p>
    <w:p w:rsidR="00391CB2" w:rsidRDefault="00EB35EF">
      <w:pPr>
        <w:pStyle w:val="ConsPlusTitle0"/>
        <w:jc w:val="center"/>
      </w:pPr>
      <w:r>
        <w:t>от 2 октября 2019 г. N 450</w:t>
      </w:r>
    </w:p>
    <w:p w:rsidR="00391CB2" w:rsidRDefault="00391CB2">
      <w:pPr>
        <w:pStyle w:val="ConsPlusTitle0"/>
        <w:jc w:val="center"/>
      </w:pPr>
    </w:p>
    <w:p w:rsidR="00391CB2" w:rsidRDefault="00EB35EF">
      <w:pPr>
        <w:pStyle w:val="ConsPlusTitle0"/>
        <w:jc w:val="center"/>
      </w:pPr>
      <w:r>
        <w:t>ОБ УТВЕРЖДЕНИИ ПОЛОЖЕНИЯ О ПРОВЕДЕНИИ ЕЖЕГОДНОГО</w:t>
      </w:r>
    </w:p>
    <w:p w:rsidR="00391CB2" w:rsidRDefault="00EB35EF">
      <w:pPr>
        <w:pStyle w:val="ConsPlusTitle0"/>
        <w:jc w:val="center"/>
      </w:pPr>
      <w:r>
        <w:t>ОБЛАСТНОГО КОНКУРСА "БЛАГОТВОРИТЕЛЬ САХАЛИНСКОЙ ОБЛАСТИ"</w:t>
      </w:r>
    </w:p>
    <w:p w:rsidR="00391CB2" w:rsidRDefault="00391C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91C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Сахалинской области от 21.07.2022 N 324 &quot;О внесении изменений в постановление Правительства Сахалинской области от 02.10.2019 N 450 &quot;Об утверждении Положения о проведении ежегодного областного конкурса &quot;Благотворитель Сахалинской о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от 21.07.2022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</w:tr>
    </w:tbl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 xml:space="preserve">На основании </w:t>
      </w:r>
      <w:hyperlink r:id="rId10" w:tooltip="Закон Сахалинской области от 24.11.1999 N 138 (ред. от 19.11.2020) &quot;О благотворительной деятельности и благотворительных организациях на территории Сахалинской области&quot; (принят Сахалинской областной Думой 18.11.1999) {КонсультантПлюс}">
        <w:r>
          <w:rPr>
            <w:color w:val="0000FF"/>
          </w:rPr>
          <w:t>статей 11</w:t>
        </w:r>
      </w:hyperlink>
      <w:r>
        <w:t xml:space="preserve">, </w:t>
      </w:r>
      <w:hyperlink r:id="rId11" w:tooltip="Закон Сахалинской области от 24.11.1999 N 138 (ред. от 19.11.2020) &quot;О благотворительной деятельности и благотворительных организациях на территории Сахалинской области&quot; (принят Сахалинской областной Думой 18.11.1999) {КонсультантПлюс}">
        <w:r>
          <w:rPr>
            <w:color w:val="0000FF"/>
          </w:rPr>
          <w:t>14</w:t>
        </w:r>
      </w:hyperlink>
      <w:r>
        <w:t xml:space="preserve"> Закона Сахалинской области от 24.11.1999 N 138 "О благотворительной деятельности и благотворительных организациях на территории Сахалинской области", в целях распро</w:t>
      </w:r>
      <w:r>
        <w:t>странения и развития благотворительной деятельности, осуществляемой гражданами и юридическими лицами Сахалинской области, а также формирования положительного имиджа индивидуальных предпринимателей и юридических лиц Сахалинской области как социальных партне</w:t>
      </w:r>
      <w:r>
        <w:t>ров, участвующих в решении социальных вопросов, Правительство Сахалинской области постановляет: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 xml:space="preserve">1. Утвердить </w:t>
      </w:r>
      <w:hyperlink w:anchor="P35" w:tooltip="ПОЛОЖЕНИЕ">
        <w:r>
          <w:rPr>
            <w:color w:val="0000FF"/>
          </w:rPr>
          <w:t>Положение</w:t>
        </w:r>
      </w:hyperlink>
      <w:r>
        <w:t xml:space="preserve"> о проведении ежегодного областного конкурса "Благотворитель Сахалинской области" (прилагается).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2. Рекомендовать органам местного самоуправления муниципальных образований Сахалинской области оказывать содействие субъектам предпринимательской деятельности, а также физическим лицам, членам общественных организаций, территориальных общественных объедине</w:t>
      </w:r>
      <w:r>
        <w:t>ний, благотворительных фондов, осуществляющим благотворительную и добровольческую (волонтерскую) деятельность, в их участии в мероприятиях областного конкурса "Благотворитель Сахалинской области".</w:t>
      </w:r>
    </w:p>
    <w:p w:rsidR="00391CB2" w:rsidRDefault="00EB35EF">
      <w:pPr>
        <w:pStyle w:val="ConsPlusNormal0"/>
        <w:jc w:val="both"/>
      </w:pPr>
      <w:r>
        <w:t xml:space="preserve">(п. 2 в ред. </w:t>
      </w:r>
      <w:hyperlink r:id="rId12" w:tooltip="Постановление Правительства Сахалинской области от 21.07.2022 N 324 &quot;О внесении изменений в постановление Правительства Сахалинской области от 02.10.2019 N 450 &quot;Об утверждении Положения о проведении ежегодного областного конкурса &quot;Благотворитель Сахалинской об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21.07.2022 N 324)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3. Признать утратившими силу: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</w:t>
      </w:r>
      <w:hyperlink r:id="rId13" w:tooltip="Постановление Администрации Сахалинской области от 24.02.2005 N 29-па (ред. от 09.09.2005) &quot;О проведении конкурса &quot;Благотворитель года&quot; (вместе с &quot;Положением о проведении конкурса &quot;Благотворитель года&quot;) ------------ Недействующая редакция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Сахалинской области от 24.02.2005 N 29-па "О проведении конкурса "Благотворитель</w:t>
      </w:r>
      <w:r>
        <w:t xml:space="preserve"> года", за исключением </w:t>
      </w:r>
      <w:hyperlink r:id="rId14" w:tooltip="Постановление Администрации Сахалинской области от 24.02.2005 N 29-па (ред. от 09.09.2005) &quot;О проведении конкурса &quot;Благотворитель года&quot; (вместе с &quot;Положением о проведении конкурса &quot;Благотворитель года&quot;) ------------ Недействующая редакция {КонсультантПлюс}">
        <w:r>
          <w:rPr>
            <w:color w:val="0000FF"/>
          </w:rPr>
          <w:t>пункта 8</w:t>
        </w:r>
      </w:hyperlink>
      <w:r>
        <w:t>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</w:t>
      </w:r>
      <w:hyperlink r:id="rId15" w:tooltip="Постановление Администрации Сахалинской области от 09.09.2005 N 171-па (ред. от 16.07.2008) &quot;О внесении изменений в постановление Администрации Сахалинской области от 24.02.2005 N 29-па &quot;О проведении конкурса &quot;Благотворитель года&quot; ------------ Недействующая ре">
        <w:r>
          <w:rPr>
            <w:color w:val="0000FF"/>
          </w:rPr>
          <w:t>пункты 2</w:t>
        </w:r>
      </w:hyperlink>
      <w:r>
        <w:t xml:space="preserve">, </w:t>
      </w:r>
      <w:hyperlink r:id="rId16" w:tooltip="Постановление Администрации Сахалинской области от 09.09.2005 N 171-па (ред. от 16.07.2008) &quot;О внесении изменений в постановление Администрации Сахалинской области от 24.02.2005 N 29-па &quot;О проведении конкурса &quot;Благотворитель года&quot; ------------ Недействующая ре">
        <w:r>
          <w:rPr>
            <w:color w:val="0000FF"/>
          </w:rPr>
          <w:t>3</w:t>
        </w:r>
      </w:hyperlink>
      <w:r>
        <w:t xml:space="preserve"> постановления администрации Сахалинской области от 09.09.2005 N 171-па "О внесении изменений в постановление администрации Сахалин</w:t>
      </w:r>
      <w:r>
        <w:t>ской области от 24.02.2005 N 29-па "О проведении конкурса "Благотворитель года".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 Опубликовать настоящее постановление в газете "Губернские ведомости", на официальном сайте Губернатора и Правительства Сахалинской области, на "Официальном интернет-портале</w:t>
      </w:r>
      <w:r>
        <w:t xml:space="preserve"> правовой информации".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jc w:val="right"/>
      </w:pPr>
      <w:r>
        <w:t>Председатель Правительства</w:t>
      </w:r>
    </w:p>
    <w:p w:rsidR="00391CB2" w:rsidRDefault="00EB35EF">
      <w:pPr>
        <w:pStyle w:val="ConsPlusNormal0"/>
        <w:jc w:val="right"/>
      </w:pPr>
      <w:r>
        <w:t>Сахалинской области</w:t>
      </w:r>
    </w:p>
    <w:p w:rsidR="00391CB2" w:rsidRDefault="00EB35EF">
      <w:pPr>
        <w:pStyle w:val="ConsPlusNormal0"/>
        <w:jc w:val="right"/>
      </w:pPr>
      <w:r>
        <w:t>А.В.Белик</w:t>
      </w:r>
    </w:p>
    <w:p w:rsidR="00391CB2" w:rsidRDefault="00391CB2">
      <w:pPr>
        <w:pStyle w:val="ConsPlusNormal0"/>
      </w:pPr>
    </w:p>
    <w:p w:rsidR="00391CB2" w:rsidRDefault="00391CB2">
      <w:pPr>
        <w:pStyle w:val="ConsPlusNormal0"/>
      </w:pPr>
    </w:p>
    <w:p w:rsidR="00391CB2" w:rsidRDefault="00391CB2">
      <w:pPr>
        <w:pStyle w:val="ConsPlusNormal0"/>
      </w:pPr>
    </w:p>
    <w:p w:rsidR="00391CB2" w:rsidRDefault="00391CB2">
      <w:pPr>
        <w:pStyle w:val="ConsPlusNormal0"/>
      </w:pPr>
    </w:p>
    <w:p w:rsidR="00391CB2" w:rsidRDefault="00391CB2">
      <w:pPr>
        <w:pStyle w:val="ConsPlusNormal0"/>
      </w:pPr>
    </w:p>
    <w:p w:rsidR="00391CB2" w:rsidRDefault="00EB35EF">
      <w:pPr>
        <w:pStyle w:val="ConsPlusNormal0"/>
        <w:jc w:val="right"/>
        <w:outlineLvl w:val="0"/>
      </w:pPr>
      <w:r>
        <w:t>Утверждено</w:t>
      </w:r>
    </w:p>
    <w:p w:rsidR="00391CB2" w:rsidRDefault="00EB35EF">
      <w:pPr>
        <w:pStyle w:val="ConsPlusNormal0"/>
        <w:jc w:val="right"/>
      </w:pPr>
      <w:r>
        <w:t>постановлением</w:t>
      </w:r>
    </w:p>
    <w:p w:rsidR="00391CB2" w:rsidRDefault="00EB35EF">
      <w:pPr>
        <w:pStyle w:val="ConsPlusNormal0"/>
        <w:jc w:val="right"/>
      </w:pPr>
      <w:r>
        <w:t>Правительства Сахалинской области</w:t>
      </w:r>
    </w:p>
    <w:p w:rsidR="00391CB2" w:rsidRDefault="00EB35EF">
      <w:pPr>
        <w:pStyle w:val="ConsPlusNormal0"/>
        <w:jc w:val="right"/>
      </w:pPr>
      <w:r>
        <w:t>от 02.10.2019 N 450</w:t>
      </w:r>
    </w:p>
    <w:p w:rsidR="00391CB2" w:rsidRDefault="00391CB2">
      <w:pPr>
        <w:pStyle w:val="ConsPlusNormal0"/>
        <w:jc w:val="center"/>
      </w:pPr>
    </w:p>
    <w:p w:rsidR="00391CB2" w:rsidRDefault="00EB35EF">
      <w:pPr>
        <w:pStyle w:val="ConsPlusTitle0"/>
        <w:jc w:val="center"/>
      </w:pPr>
      <w:bookmarkStart w:id="0" w:name="P35"/>
      <w:bookmarkEnd w:id="0"/>
      <w:r>
        <w:lastRenderedPageBreak/>
        <w:t>ПОЛОЖЕНИЕ</w:t>
      </w:r>
    </w:p>
    <w:p w:rsidR="00391CB2" w:rsidRDefault="00EB35EF">
      <w:pPr>
        <w:pStyle w:val="ConsPlusTitle0"/>
        <w:jc w:val="center"/>
      </w:pPr>
      <w:r>
        <w:t>О ПРОВЕДЕНИИ ЕЖЕГОДНОГО ОБЛАСТНОГО КОНКУРСА</w:t>
      </w:r>
    </w:p>
    <w:p w:rsidR="00391CB2" w:rsidRDefault="00EB35EF">
      <w:pPr>
        <w:pStyle w:val="ConsPlusTitle0"/>
        <w:jc w:val="center"/>
      </w:pPr>
      <w:r>
        <w:t>"БЛАГОТВОРИТЕЛЬ САХАЛИНСКОЙ ОБЛАСТИ</w:t>
      </w:r>
      <w:r>
        <w:t>"</w:t>
      </w:r>
    </w:p>
    <w:p w:rsidR="00391CB2" w:rsidRDefault="00391C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91C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остановление Правительства Сахалинской области от 21.07.2022 N 324 &quot;О внесении изменений в постановление Правительства Сахалинской области от 02.10.2019 N 450 &quot;Об утверждении Положения о проведении ежегодного областного конкурса &quot;Благотворитель Сахалинской о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от 21.07.2022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</w:tr>
    </w:tbl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Title0"/>
        <w:jc w:val="center"/>
        <w:outlineLvl w:val="1"/>
      </w:pPr>
      <w:r>
        <w:t>1. Общие положения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1.1. Настоящее Положение определяет порядок подготовки, организации, проведения и подведения итогов ежегодного областного конкурса "Благотворитель Сахалинской области" (далее - Конкурс) на территории Сахалинской области.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1.2. Конкурс проводится в целях реализации положений </w:t>
      </w:r>
      <w:hyperlink r:id="rId18" w:tooltip="Закон Сахалинской области от 24.11.1999 N 138 (ред. от 19.11.2020) &quot;О благотворительной деятельности и благотворительных организациях на территории Сахалинской области&quot; (принят Сахалинской областной Думой 18.11.1999) {КонсультантПлюс}">
        <w:r>
          <w:rPr>
            <w:color w:val="0000FF"/>
          </w:rPr>
          <w:t>Закона</w:t>
        </w:r>
      </w:hyperlink>
      <w:r>
        <w:t xml:space="preserve"> Сахалинской области от 24.11.1999 N 138 "О благотворительн</w:t>
      </w:r>
      <w:r>
        <w:t>ой деятельности и благотворительных организациях на территории Сахалинской области" и мероприятий по вовлечению благотворительных фондов, меценатов, организаций и волонтеров в оказание социальной помощи нуждающимся гражданам, а также развития благотворител</w:t>
      </w:r>
      <w:r>
        <w:t xml:space="preserve">ьной деятельности, под которой понимается добровольная деятельность по бескорыстной (безвозмездной или на льготных условиях) передаче гражданам или юридическим лицам имущества, товаров, в том числе денежных средств, безвозмездному выполнению работ и (или) </w:t>
      </w:r>
      <w:r>
        <w:t>оказанию услуг, иной поддержки, и добровольчества (волонтерства), под которым понимается добровольная деятельность в форме безвозмездного выполнения работ и (или) оказания услуг (далее - благотворительная деятельность), осуществляемых гражданами и юридичес</w:t>
      </w:r>
      <w:r>
        <w:t>кими лицами на территории Сахалинской области, выражения им признательности за вклад в решение социальных вопросов.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1.3. Задачи Конкурса: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формирование позитивного общественного мнения по отношению к благотворительной деятельности;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пропаганда благотвори</w:t>
      </w:r>
      <w:r>
        <w:t>тельной деятельности среди населения Сахалинской области, руководителей предприятий, организаций и учреждений всех форм собственности, индивидуальных предпринимателей;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формирование положительного имиджа индивидуальных предпринимателей и юридических лиц С</w:t>
      </w:r>
      <w:r>
        <w:t>ахалинской области как социальных партнеров, участвующих в социальных проектах области и решении социальных вопросов граждан.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1.4. Конкурс проводится по следующим номинациям:</w:t>
      </w:r>
    </w:p>
    <w:p w:rsidR="00391CB2" w:rsidRDefault="00EB35EF">
      <w:pPr>
        <w:pStyle w:val="ConsPlusNormal0"/>
        <w:spacing w:before="200"/>
        <w:ind w:firstLine="540"/>
        <w:jc w:val="both"/>
      </w:pPr>
      <w:bookmarkStart w:id="1" w:name="_GoBack"/>
      <w:r>
        <w:t>- "Благотворитель года": награждаются участники Конкурса, осуществившие благотвор</w:t>
      </w:r>
      <w:r>
        <w:t>ительные пожертвования гражданам и (или) юридическим лицам из числа социально ориентированных некоммерческих организаций на общую сумму от 1000000 рублей (для представителей среднего и крупного предпринимательства), от 500000 до 1000000 рублей (для предста</w:t>
      </w:r>
      <w:r>
        <w:t>вителей микро- и малого предпринимательства, некоммерческих организаций, благотворительных фондов), от 500000 до 1000000 рублей (для граждан, не осуществляющих предпринимательскую деятельность, и объединений граждан);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"Благотворитель малых дел": награжда</w:t>
      </w:r>
      <w:r>
        <w:t>ются участники Конкурса, осуществившие благотворительные пожертвования гражданам и (или) юридическим лицам из числа социально ориентированных некоммерческих организаций на общую сумму от 100000 до 500000 рублей (для представителей предпринимательства, неко</w:t>
      </w:r>
      <w:r>
        <w:t>ммерческих организаций, благотворительных фондов), от 50000 до 100000 рублей (для граждан, не осуществляющих предпринимательскую деятельность, и объединений граждан);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"Мастер добрых дел": награждаются участники Конкурса, которые на постоянной основе осущ</w:t>
      </w:r>
      <w:r>
        <w:t>ествляют благотворительную деятельность;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"Лучший социальный партнер карты сахалинца": награждаются участники конкурса, </w:t>
      </w:r>
      <w:r>
        <w:lastRenderedPageBreak/>
        <w:t>осуществляющие благотворительную деятельность, направленную на решение актуальных социальных вопросов Сахалинской области, и участвовав</w:t>
      </w:r>
      <w:r>
        <w:t>шие в реализации проектов и мероприятий в сфере создания и развития социальной и цифровой инфраструктуры Сахалинской области в рамках проектов "Карта сахалинца", "Добрые дела карты сахалинца";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"Дебют": награждаются участники Конкурса, впервые принимающие</w:t>
      </w:r>
      <w:r>
        <w:t xml:space="preserve"> участие в Конкурсе, осуществившие в течение текущего года благотворительную деятельность и иную деятельность, направленную на социальное развитие Сахалинской области;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"Общественное признание": награждаются участники Конкурса, реализовавшие самый яркий б</w:t>
      </w:r>
      <w:r>
        <w:t>лаготворительный проект (по мнению участников народного голосования);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"Лучшее медийное сопровождение": награждаются участники Конкурса, обеспечившие рекламно-информационную поддержку благотворительной деятельности и иных социальных проектов Сахалинской о</w:t>
      </w:r>
      <w:r>
        <w:t>бласти.</w:t>
      </w:r>
    </w:p>
    <w:bookmarkEnd w:id="1"/>
    <w:p w:rsidR="00391CB2" w:rsidRDefault="00EB35EF">
      <w:pPr>
        <w:pStyle w:val="ConsPlusNormal0"/>
        <w:spacing w:before="200"/>
        <w:ind w:firstLine="540"/>
        <w:jc w:val="both"/>
      </w:pPr>
      <w:r>
        <w:t>1.5. Организаторами Конкурса являются министерство социальной защиты Сахалинской области, министерство культуры и архивного дела Сахалинской области (далее - организаторы Конкурса).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1.6. Руководство организацией и проведением Конкурса осуществляет </w:t>
      </w:r>
      <w:r>
        <w:t>заместитель председателя Правительства Сахалинской области, отвечающий за вопросы социальной защиты в соответствии с распределением полномочий.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Организация Конкурса осуществляется в соответствии с планом мероприятий, утверждаемым заместителем председателя </w:t>
      </w:r>
      <w:r>
        <w:t>Правительства Сахалинской области, отвечающим за вопросы социальной защиты в соответствии с распределением полномочий.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1.7. В целях рассмотрения, анализа и оценки заявок на участие в Конкурсе, определения победителей и лауреатов Конкурса создается конкурсн</w:t>
      </w:r>
      <w:r>
        <w:t>ая комиссия (далее - комиссия), состав которой утверждается Правительством Сахалинской области.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В состав комиссии включаются председатель комиссии, секретарь комиссии и члены комиссии по согласованию из числа представителей Правительства Сахалинской област</w:t>
      </w:r>
      <w:r>
        <w:t>и, органов государственной власти и местного самоуправления Сахалинской области, общественных объединений, предприятий и организаций, осуществляющих деятельность на территории Сахалинской области, физические лица.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Председателем комиссии является заместител</w:t>
      </w:r>
      <w:r>
        <w:t>ь председателя Правительства Сахалинской области, в соответствии с распределением полномочий отвечающий за вопросы социальной защиты (далее - председатель комиссии).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Уведомление членов комиссии о заседаниях, ведение протокола заседания комиссии и оформление документов комиссии осуществляются секретарем комиссии.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Конкурсная комиссия правомочна принимать решения, если на заседании присутствуют не менее 2/3 от утвержденно</w:t>
      </w:r>
      <w:r>
        <w:t>й численности членов комиссии.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Title0"/>
        <w:jc w:val="center"/>
        <w:outlineLvl w:val="1"/>
      </w:pPr>
      <w:r>
        <w:t>2. Участники Конкурса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bookmarkStart w:id="2" w:name="P69"/>
      <w:bookmarkEnd w:id="2"/>
      <w:r>
        <w:t xml:space="preserve">2.1. К участию в Конкурсе допускаются физические лица, в том числе индивидуальные предприниматели и объединения граждан, юридические лица, которые в течение календарного года осуществляли благотворительную деятельность (далее - участники благотворительной </w:t>
      </w:r>
      <w:r>
        <w:t>деятельности, участники Конкурса), направленную: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на цели, определенные </w:t>
      </w:r>
      <w:hyperlink r:id="rId19" w:tooltip="Федеральный закон от 11.08.1995 N 135-ФЗ (ред. от 21.11.2022) &quot;О благотворительной деятельности и добровольчестве (волонтерстве)&quot;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 от 11.08.1995 N 135-ФЗ "О благотворительной деятельности и благотворительных организация</w:t>
      </w:r>
      <w:r>
        <w:t>х";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на решение социальных вопросов; оказание социальной поддержки детям, семьям, оказавшимся в трудной жизненной ситуации, инвалидам, ветеранам, другим социально незащищенным категориям </w:t>
      </w:r>
      <w:r>
        <w:lastRenderedPageBreak/>
        <w:t>населения, в том числе в рамках проекта "Добрые дела карты сахалинца</w:t>
      </w:r>
      <w:r>
        <w:t>"; развитие и укрепление материально-технической базы объектов социальной инфраструктуры; участие в организации и проведении праздничных культурно-массовых и спортивных мероприятий, социально значимых акций;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на реализацию проектов и мероприятий в сфере с</w:t>
      </w:r>
      <w:r>
        <w:t>оздания и развития цифровой инфраструктуры в социальной сфере Сахалинской области, в том числе в рамках проектов "Карта сахалинца", "Добрые дела карты сахалинца".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2.2. К участию в Конкурсе не допускаются участники благотворительной деятельности: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не соотв</w:t>
      </w:r>
      <w:r>
        <w:t xml:space="preserve">етствующие требованиям </w:t>
      </w:r>
      <w:hyperlink w:anchor="P69" w:tooltip="2.1. К участию в Конкурсе допускаются физические лица, в том числе индивидуальные предприниматели и объединения граждан, юридические лица, которые в течение календарного года осуществляли благотворительную деятельность (далее - участники благотворительной деят">
        <w:r>
          <w:rPr>
            <w:color w:val="0000FF"/>
          </w:rPr>
          <w:t>пункта 2.1</w:t>
        </w:r>
      </w:hyperlink>
      <w:r>
        <w:t xml:space="preserve"> настоящего Положения;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граждане и юридические лица, осуществлявшие в течение календарного года благотворительную деятельность одновременно с предвыборной агитацией, а также агитацией по</w:t>
      </w:r>
      <w:r>
        <w:t xml:space="preserve"> вопросам референдума;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имеющие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являющиеся политическими пар</w:t>
      </w:r>
      <w:r>
        <w:t>тиями, движениями, преследующими политические цели;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представившие недостоверные сведения.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2.3. Для участия в Конкурсе участник благотворительной деятельности в порядке, установленном в объявлении о Конкурсе, направляет следующие документы и материалы: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</w:t>
      </w:r>
      <w:r>
        <w:t xml:space="preserve">заявку участника Конкурса (по </w:t>
      </w:r>
      <w:hyperlink w:anchor="P149" w:tooltip="ЗАЯВКА">
        <w:r>
          <w:rPr>
            <w:color w:val="0000FF"/>
          </w:rPr>
          <w:t>форме N 1</w:t>
        </w:r>
      </w:hyperlink>
      <w:r>
        <w:t xml:space="preserve"> к настоящему Положению);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копии документов (платежные поручения, благодарственные письма), информационные материалы, копии газетных и журнальных статей, фото- и видеоматериалы </w:t>
      </w:r>
      <w:r>
        <w:t>участника Конкурса, подтверждающие факт осуществления им благотворительной деятельности.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Title0"/>
        <w:jc w:val="center"/>
        <w:outlineLvl w:val="1"/>
      </w:pPr>
      <w:r>
        <w:t>3. Организация Конкурса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3.1. Организация и проведение Конкурса, а также предварительный отбор заявок на предмет соответствия требованиям и критериям отбора, установл</w:t>
      </w:r>
      <w:r>
        <w:t>енным настоящим Положением, осуществляется организаторами Конкурса в соответствии с планом мероприятий Конкурса.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3.2. Организаторы Конкурса в соответствии с распределением функций в рамках утвержденного плана мероприятий Конкурса осуществляют: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подготовку</w:t>
      </w:r>
      <w:r>
        <w:t xml:space="preserve"> правовых актов Правительства Сахалинской области по вопросам организации и проведения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подготовку представленных участниками Конкурса документов к рассмотрению на заседаниях комиссии;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взаимодействие с органами исполнительной власти и местного</w:t>
      </w:r>
      <w:r>
        <w:t xml:space="preserve"> самоуправления Сахалинской области, общественными организациями и объединениями граждан, субъектами предпринимательской деятельности в целях реализации мероприятий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организацию и проведение церемонии подведения итогов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разработку эле</w:t>
      </w:r>
      <w:r>
        <w:t>ментов визуального оформления и брендбука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информационное сопровождение мероприятий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финансирование расходов, связанных с организацией и проведением мероприятий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lastRenderedPageBreak/>
        <w:t>- организацию и проведение мероприятий по популяризации итогов Конкурса текущего года;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реализацию иных функций и полномочий, направленных на своевременное и качественное исполнение мероприятий Конкурса.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3.3. Уполномоченный в соответствии с распределением</w:t>
      </w:r>
      <w:r>
        <w:t xml:space="preserve"> функций в рамках утвержденного плана мероприятий Конкурса организатор Конкурса в срок до 5 августа текущего года публикует информационное сообщение о начале приема документов для участия в Конкурсе в разделе "Добрые дела" на сайте проекта "Карта сахалинца</w:t>
      </w:r>
      <w:r>
        <w:t>" https://eks.sakhalin.gov.ru/ в информационно-телекоммуникационной сети Интернет (далее - сайт Конкурса) с указанием: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целей и задач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информации о номинациях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категорий участников Конкурса;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критериев конкурсного отбора;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перечня </w:t>
      </w:r>
      <w:r>
        <w:t>документов, необходимых для участия в Конкурсе;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сроков и способов приема документов на участие в Конкурсе;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контактной информации об организаторах Конкурса, принимающих документы на участие в Конкурсе (адрес местонахождения, номер телефона, график работ</w:t>
      </w:r>
      <w:r>
        <w:t>ы).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Title0"/>
        <w:jc w:val="center"/>
        <w:outlineLvl w:val="1"/>
      </w:pPr>
      <w:r>
        <w:t>4. Порядок, условия и сроки проведения конкурса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4.1. Документы на участие в Конкурсе принимаются уполномоченным в соответствии с планом мероприятий Конкурса организатором Конкурса до 30 сентября текущего года и в рабочий день, следующий за днем оконч</w:t>
      </w:r>
      <w:r>
        <w:t>ания приема заявок, передаются на рассмотрение в комиссию.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В срок, указанный в абзаце 1 настоящего пункта, уполномоченным в соответствии с планом мероприятий Конкурса организатором Конкурса в целях определения победителя в номинации "Общественное признание</w:t>
      </w:r>
      <w:r>
        <w:t>" на сайте Конкурса размещается перечень номинантов с описанием их благотворительной деятельности, и в срок до 15 ноября текущего года проводится народное голосование.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4.2. Комиссия проводит оценку поступивших заявок для участия в Конкурсе и формирует прое</w:t>
      </w:r>
      <w:r>
        <w:t>кт списка победителей и лауреатов Конкурса в срок не позднее 30 ноября.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4.3. Оценка заявок участников Конкурса осуществляется по 10-балльной шкале, где 10 баллов - максимальное значение количественного показателя критерия отбора в группе участников номинации Конкурса.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4.4. Оценка заявок участников Конкурса осуществляется комис</w:t>
      </w:r>
      <w:r>
        <w:t>сией в соответствии со следующими критериями отбора: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опыт участия в благотворительной помощи, добровольческой (волонтерской) и иной социально значимой помощи (оценивается продолжительность участия в благотворительной деятельности);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наличие благодарстве</w:t>
      </w:r>
      <w:r>
        <w:t>нных писем благополучателей, газетных и журнальных статей, публикаций в сети Интернет фото- и видеоматериалов (оценивается количество выданных благодарственных писем и число упоминаний участника в контексте благотворительной деятельности в средствах массов</w:t>
      </w:r>
      <w:r>
        <w:t>ой информации и сети Интернет);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оказание помощи нуждающимся в данной помощи, участие в социальных проектах (оценивается число получателей благотворительной помощи и социальных проектов, в которых принято участие);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- осуществление благотворительной деятел</w:t>
      </w:r>
      <w:r>
        <w:t xml:space="preserve">ьности в течение года (оценивается количество фактов </w:t>
      </w:r>
      <w:r>
        <w:lastRenderedPageBreak/>
        <w:t>осуществления благотворительной деятельности);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- размер благотворительной помощи (оценивается общая сумма благотворительных пожертвований, переданных в рамках благотворительной деятельности, в том числе </w:t>
      </w:r>
      <w:r>
        <w:t>денежных средств, стоимости иного имущества, оказанных услуг, выполненных работ, стоимостного выражения объема предоставленных льгот).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4.5. По результатам оценки каждого участника конкурса заполняется оценочный лист (</w:t>
      </w:r>
      <w:hyperlink w:anchor="P212" w:tooltip="ОЦЕНОЧНЫЙ ЛИСТ">
        <w:r>
          <w:rPr>
            <w:color w:val="0000FF"/>
          </w:rPr>
          <w:t>форма N 2</w:t>
        </w:r>
      </w:hyperlink>
      <w:r>
        <w:t xml:space="preserve"> к настоящему Положению), который приобщается к протоколу комиссии.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4.6. В каждой номинации определяется один победитель, набравший наибольшее количество баллов, и не более двух лауреатов, следующих за победителем по количеству баллов.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4.7</w:t>
      </w:r>
      <w:r>
        <w:t>. В случае набора двумя и более участниками в одной номинации равного количества баллов решение о победителях и лауреатах Конкурса принимается простым большинством голосов членов комиссии, присутствующих на заседании, путем открытого голосования. При голос</w:t>
      </w:r>
      <w:r>
        <w:t>овании каждый член комиссии имеет один голос. В случае равенства голосов голос председателя комиссии является решающим.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4.8. Результаты Конкурса, в том числе с учетом результатов народного голосования по номинации "Общественное признание"</w:t>
      </w:r>
      <w:r>
        <w:t>, оформляются протоколом комиссии, утверждаемым председателем комиссии.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4.9. Утвержденный протокол является основанием для подготовки организатором Конкурса проекта распоряжения Правительства Сахалинской области об утверждении списка победителей и лауреато</w:t>
      </w:r>
      <w:r>
        <w:t>в Конкурса.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Title0"/>
        <w:jc w:val="center"/>
        <w:outlineLvl w:val="1"/>
      </w:pPr>
      <w:r>
        <w:t>5. Финансирование конкурса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5.1. Финансирование мероприятий Конкурса, включая мероприятия по организации и проведению церемонии подведения итогов Конкурса, информационному сопровождению и популяризации итогов Конкурса, осуществляется за счет с</w:t>
      </w:r>
      <w:r>
        <w:t>редств областного бюджета Сахалинской области в пределах бюджетных ассигнований, предусмотренных органам исполнительной власти Сахалинской области - организаторам Конкурса.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5.2. В рамках действующего законодательства организаторами проведения Конкурса для </w:t>
      </w:r>
      <w:r>
        <w:t>финансирования мероприятий Конкурса могут привлекаться внебюджетные средства.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5.3. Расчет потребности в средствах на проведение Конкурса утверждается соответствующими организаторами Конкурса, являющимися главными распорядителями бюджетных средств, по согла</w:t>
      </w:r>
      <w:r>
        <w:t>сованию с председателем комиссии.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Title0"/>
        <w:jc w:val="center"/>
        <w:outlineLvl w:val="1"/>
      </w:pPr>
      <w:r>
        <w:t>6. Заключительные положения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6.1. Итоги Конкурса подводятся в торжественной обстановке, публикуются в средствах массовой информации и размещаются на сайте Конкурса.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 xml:space="preserve">6.2. Победителям Конкурса вручаются дипломы Губернатора </w:t>
      </w:r>
      <w:r>
        <w:t>Сахалинской области и наградные статуэтки, лауреаты Конкурса награждаются дипломами Губернатора Сахалинской области.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jc w:val="right"/>
        <w:outlineLvl w:val="1"/>
      </w:pPr>
      <w:r>
        <w:t>Форма N 1</w:t>
      </w:r>
    </w:p>
    <w:p w:rsidR="00391CB2" w:rsidRDefault="00EB35EF">
      <w:pPr>
        <w:pStyle w:val="ConsPlusNormal0"/>
        <w:jc w:val="right"/>
      </w:pPr>
      <w:r>
        <w:t>к Положению</w:t>
      </w:r>
    </w:p>
    <w:p w:rsidR="00391CB2" w:rsidRDefault="00EB35EF">
      <w:pPr>
        <w:pStyle w:val="ConsPlusNormal0"/>
        <w:jc w:val="right"/>
      </w:pPr>
      <w:r>
        <w:t>о ежегодном областном конкурсе</w:t>
      </w:r>
    </w:p>
    <w:p w:rsidR="00391CB2" w:rsidRDefault="00EB35EF">
      <w:pPr>
        <w:pStyle w:val="ConsPlusNormal0"/>
        <w:jc w:val="right"/>
      </w:pPr>
      <w:r>
        <w:t>"Благотворитель Сахалинской области",</w:t>
      </w:r>
    </w:p>
    <w:p w:rsidR="00391CB2" w:rsidRDefault="00EB35EF">
      <w:pPr>
        <w:pStyle w:val="ConsPlusNormal0"/>
        <w:jc w:val="right"/>
      </w:pPr>
      <w:r>
        <w:t>утвержденному постановлением</w:t>
      </w:r>
    </w:p>
    <w:p w:rsidR="00391CB2" w:rsidRDefault="00EB35EF">
      <w:pPr>
        <w:pStyle w:val="ConsPlusNormal0"/>
        <w:jc w:val="right"/>
      </w:pPr>
      <w:r>
        <w:lastRenderedPageBreak/>
        <w:t xml:space="preserve">Правительства </w:t>
      </w:r>
      <w:r>
        <w:t>Сахалинской области</w:t>
      </w:r>
    </w:p>
    <w:p w:rsidR="00391CB2" w:rsidRDefault="00EB35EF">
      <w:pPr>
        <w:pStyle w:val="ConsPlusNormal0"/>
        <w:jc w:val="right"/>
      </w:pPr>
      <w:r>
        <w:t>от 02.10.2019 N 450</w:t>
      </w:r>
    </w:p>
    <w:p w:rsidR="00391CB2" w:rsidRDefault="00391C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91C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tooltip="Постановление Правительства Сахалинской области от 21.07.2022 N 324 &quot;О внесении изменений в постановление Правительства Сахалинской области от 02.10.2019 N 450 &quot;Об утверждении Положения о проведении ежегодного областного конкурса &quot;Благотворитель Сахалинской о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от 21.07.2022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</w:tr>
    </w:tbl>
    <w:p w:rsidR="00391CB2" w:rsidRDefault="00391CB2">
      <w:pPr>
        <w:pStyle w:val="ConsPlusNormal0"/>
        <w:jc w:val="center"/>
      </w:pPr>
    </w:p>
    <w:p w:rsidR="00391CB2" w:rsidRDefault="00EB35EF">
      <w:pPr>
        <w:pStyle w:val="ConsPlusNormal0"/>
        <w:jc w:val="center"/>
      </w:pPr>
      <w:bookmarkStart w:id="3" w:name="P149"/>
      <w:bookmarkEnd w:id="3"/>
      <w:r>
        <w:rPr>
          <w:b/>
        </w:rPr>
        <w:t>ЗАЯВКА</w:t>
      </w:r>
    </w:p>
    <w:p w:rsidR="00391CB2" w:rsidRDefault="00EB35EF">
      <w:pPr>
        <w:pStyle w:val="ConsPlusNormal0"/>
        <w:jc w:val="center"/>
      </w:pPr>
      <w:r>
        <w:rPr>
          <w:b/>
        </w:rPr>
        <w:t>на участие в областном конкурсе в сфере благотворительности</w:t>
      </w:r>
    </w:p>
    <w:p w:rsidR="00391CB2" w:rsidRDefault="00EB35EF">
      <w:pPr>
        <w:pStyle w:val="ConsPlusNormal0"/>
        <w:jc w:val="center"/>
      </w:pPr>
      <w:r>
        <w:rPr>
          <w:b/>
        </w:rPr>
        <w:t>"Благотворитель Сахалинской области"</w:t>
      </w:r>
    </w:p>
    <w:p w:rsidR="00391CB2" w:rsidRDefault="00391CB2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09"/>
      </w:tblGrid>
      <w:tr w:rsidR="00391CB2">
        <w:tc>
          <w:tcPr>
            <w:tcW w:w="9068" w:type="dxa"/>
            <w:gridSpan w:val="2"/>
          </w:tcPr>
          <w:p w:rsidR="00391CB2" w:rsidRDefault="00EB35EF">
            <w:pPr>
              <w:pStyle w:val="ConsPlusNormal0"/>
              <w:jc w:val="center"/>
              <w:outlineLvl w:val="2"/>
            </w:pPr>
            <w:r>
              <w:rPr>
                <w:b/>
              </w:rPr>
              <w:t>Информация об участнике конкурса</w:t>
            </w: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ФИО участника конкурса (представителя участника конкурса - для юридических лиц и объединений граждан)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Название организации (для юридических лиц)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Занимаемая должность/род деятельности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Юридический адрес (для юридических лиц)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Фактический адрес, тел./факс, e-mail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Ссылка на интернет ресурс участника конкурса (при наличии)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Наименование основного вида экономической деятельности (при наличии)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Номинация(-ии), в которой(-ых) участник желает принять участие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9068" w:type="dxa"/>
            <w:gridSpan w:val="2"/>
          </w:tcPr>
          <w:p w:rsidR="00391CB2" w:rsidRDefault="00EB35EF">
            <w:pPr>
              <w:pStyle w:val="ConsPlusNormal0"/>
              <w:jc w:val="center"/>
              <w:outlineLvl w:val="2"/>
            </w:pPr>
            <w:r>
              <w:rPr>
                <w:b/>
              </w:rPr>
              <w:t>Сведения о благотворительной, добровольческой (волонтерской) и иной социально значимой деятельности участника конкурса</w:t>
            </w: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1. Описание выставляемой на конкурс благотворительной/добровольческой (волонтерской)/иной социально значимой деятельности (благотворительных/социальных проектов) с указанием благополучателей, количества фактов осуществленной деятельности, опыта в данной сф</w:t>
            </w:r>
            <w:r>
              <w:t>ере</w:t>
            </w:r>
          </w:p>
          <w:p w:rsidR="00391CB2" w:rsidRDefault="00EB35EF">
            <w:pPr>
              <w:pStyle w:val="ConsPlusNormal0"/>
            </w:pPr>
            <w:r>
              <w:t>2. Вид и стоимостное выражение благотворительной деятельности/вид добровольческой (волонтерской) и иной социально значимой деятельности, число задействованных в ее оказание лиц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  <w:tr w:rsidR="00391CB2">
        <w:tc>
          <w:tcPr>
            <w:tcW w:w="5159" w:type="dxa"/>
          </w:tcPr>
          <w:p w:rsidR="00391CB2" w:rsidRDefault="00EB35EF">
            <w:pPr>
              <w:pStyle w:val="ConsPlusNormal0"/>
            </w:pPr>
            <w:r>
              <w:t>Ссылки на информационные (в т.ч. видео) материалы, размещенные в сети Инт</w:t>
            </w:r>
            <w:r>
              <w:t>ернет, о благотворительной/добровольческой (волонтерской)/иной социально значимой деятельности</w:t>
            </w:r>
          </w:p>
        </w:tc>
        <w:tc>
          <w:tcPr>
            <w:tcW w:w="3909" w:type="dxa"/>
          </w:tcPr>
          <w:p w:rsidR="00391CB2" w:rsidRDefault="00391CB2">
            <w:pPr>
              <w:pStyle w:val="ConsPlusNormal0"/>
            </w:pPr>
          </w:p>
        </w:tc>
      </w:tr>
    </w:tbl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lastRenderedPageBreak/>
        <w:t>Достоверность информации, представленной в настоящей Заявке, гарантируем и подтверждаем право Конкурсной комиссии запрашивать у уполномоченных органов власти и упомянутых в настоящей Заявке юридических и физических лиц информацию, уточняющую сведения, пред</w:t>
      </w:r>
      <w:r>
        <w:t>ставленные в настоящей Заявке.</w:t>
      </w:r>
    </w:p>
    <w:p w:rsidR="00391CB2" w:rsidRDefault="00391CB2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814"/>
        <w:gridCol w:w="340"/>
        <w:gridCol w:w="3288"/>
      </w:tblGrid>
      <w:tr w:rsidR="00391CB2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</w:tr>
      <w:tr w:rsidR="00391CB2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91CB2" w:rsidRDefault="00EB35EF">
            <w:pPr>
              <w:pStyle w:val="ConsPlusNormal0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91CB2" w:rsidRDefault="00EB35EF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1CB2" w:rsidRDefault="00391CB2">
            <w:pPr>
              <w:pStyle w:val="ConsPlusNormal0"/>
              <w:jc w:val="center"/>
            </w:pPr>
          </w:p>
        </w:tc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391CB2" w:rsidRDefault="00EB35EF">
            <w:pPr>
              <w:pStyle w:val="ConsPlusNormal0"/>
              <w:jc w:val="center"/>
            </w:pPr>
            <w:r>
              <w:t>(Ф.И.О. руководителя организации)</w:t>
            </w:r>
          </w:p>
        </w:tc>
      </w:tr>
    </w:tbl>
    <w:p w:rsidR="00391CB2" w:rsidRDefault="00391CB2">
      <w:pPr>
        <w:pStyle w:val="ConsPlusNormal0"/>
        <w:jc w:val="both"/>
      </w:pPr>
    </w:p>
    <w:p w:rsidR="00391CB2" w:rsidRDefault="00EB35EF">
      <w:pPr>
        <w:pStyle w:val="ConsPlusNormal0"/>
        <w:ind w:firstLine="540"/>
        <w:jc w:val="both"/>
      </w:pPr>
      <w:r>
        <w:t>М.П. (при наличии)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К настоящей заявке прилагаются следующие документы: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ind w:firstLine="540"/>
        <w:jc w:val="both"/>
      </w:pPr>
      <w:r>
        <w:t>1. на ___ л. в ___ экз.</w:t>
      </w:r>
    </w:p>
    <w:p w:rsidR="00391CB2" w:rsidRDefault="00EB35EF">
      <w:pPr>
        <w:pStyle w:val="ConsPlusNormal0"/>
        <w:spacing w:before="200"/>
        <w:ind w:firstLine="540"/>
        <w:jc w:val="both"/>
      </w:pPr>
      <w:r>
        <w:t>2. на ___ л. в ___ экз.</w:t>
      </w: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jc w:val="right"/>
        <w:outlineLvl w:val="1"/>
      </w:pPr>
      <w:r>
        <w:t>Форма N 2</w:t>
      </w:r>
    </w:p>
    <w:p w:rsidR="00391CB2" w:rsidRDefault="00EB35EF">
      <w:pPr>
        <w:pStyle w:val="ConsPlusNormal0"/>
        <w:jc w:val="right"/>
      </w:pPr>
      <w:r>
        <w:t>к Положению</w:t>
      </w:r>
    </w:p>
    <w:p w:rsidR="00391CB2" w:rsidRDefault="00EB35EF">
      <w:pPr>
        <w:pStyle w:val="ConsPlusNormal0"/>
        <w:jc w:val="right"/>
      </w:pPr>
      <w:r>
        <w:t>о ежегодном областном конкурсе</w:t>
      </w:r>
    </w:p>
    <w:p w:rsidR="00391CB2" w:rsidRDefault="00EB35EF">
      <w:pPr>
        <w:pStyle w:val="ConsPlusNormal0"/>
        <w:jc w:val="right"/>
      </w:pPr>
      <w:r>
        <w:t>"Благотворитель Сахалинской области",</w:t>
      </w:r>
    </w:p>
    <w:p w:rsidR="00391CB2" w:rsidRDefault="00EB35EF">
      <w:pPr>
        <w:pStyle w:val="ConsPlusNormal0"/>
        <w:jc w:val="right"/>
      </w:pPr>
      <w:r>
        <w:t>утвержденному постановлением</w:t>
      </w:r>
    </w:p>
    <w:p w:rsidR="00391CB2" w:rsidRDefault="00EB35EF">
      <w:pPr>
        <w:pStyle w:val="ConsPlusNormal0"/>
        <w:jc w:val="right"/>
      </w:pPr>
      <w:r>
        <w:t>Правительства Сахалинской области</w:t>
      </w:r>
    </w:p>
    <w:p w:rsidR="00391CB2" w:rsidRDefault="00EB35EF">
      <w:pPr>
        <w:pStyle w:val="ConsPlusNormal0"/>
        <w:jc w:val="right"/>
      </w:pPr>
      <w:r>
        <w:t>от 02.10.2019 N 450</w:t>
      </w:r>
    </w:p>
    <w:p w:rsidR="00391CB2" w:rsidRDefault="00391CB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91C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tooltip="Постановление Правительства Сахалинской области от 21.07.2022 N 324 &quot;О внесении изменений в постановление Правительства Сахалинской области от 02.10.2019 N 450 &quot;Об утверждении Положения о проведении ежегодного областного конкурса &quot;Благотворитель Сахалинской о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:rsidR="00391CB2" w:rsidRDefault="00EB35EF">
            <w:pPr>
              <w:pStyle w:val="ConsPlusNormal0"/>
              <w:jc w:val="center"/>
            </w:pPr>
            <w:r>
              <w:rPr>
                <w:color w:val="392C69"/>
              </w:rPr>
              <w:t>от 21.07.2022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1CB2" w:rsidRDefault="00391CB2">
            <w:pPr>
              <w:pStyle w:val="ConsPlusNormal0"/>
            </w:pPr>
          </w:p>
        </w:tc>
      </w:tr>
    </w:tbl>
    <w:p w:rsidR="00391CB2" w:rsidRDefault="00391CB2">
      <w:pPr>
        <w:pStyle w:val="ConsPlusNormal0"/>
        <w:ind w:firstLine="540"/>
        <w:jc w:val="both"/>
      </w:pPr>
    </w:p>
    <w:p w:rsidR="00391CB2" w:rsidRDefault="00EB35EF">
      <w:pPr>
        <w:pStyle w:val="ConsPlusNormal0"/>
        <w:jc w:val="center"/>
      </w:pPr>
      <w:bookmarkStart w:id="4" w:name="P212"/>
      <w:bookmarkEnd w:id="4"/>
      <w:r>
        <w:rPr>
          <w:b/>
        </w:rPr>
        <w:t>ОЦЕНОЧНЫЙ ЛИСТ</w:t>
      </w:r>
    </w:p>
    <w:p w:rsidR="00391CB2" w:rsidRDefault="00EB35EF">
      <w:pPr>
        <w:pStyle w:val="ConsPlusNormal0"/>
        <w:jc w:val="center"/>
      </w:pPr>
      <w:r>
        <w:rPr>
          <w:b/>
        </w:rPr>
        <w:t>участника ежегодного областного конкурса</w:t>
      </w:r>
    </w:p>
    <w:p w:rsidR="00391CB2" w:rsidRDefault="00EB35EF">
      <w:pPr>
        <w:pStyle w:val="ConsPlusNormal0"/>
        <w:jc w:val="center"/>
      </w:pPr>
      <w:r>
        <w:rPr>
          <w:b/>
        </w:rPr>
        <w:t>"Благотворитель Сахалинской области"</w:t>
      </w:r>
    </w:p>
    <w:p w:rsidR="00391CB2" w:rsidRDefault="00EB35EF">
      <w:pPr>
        <w:pStyle w:val="ConsPlusNormal0"/>
        <w:jc w:val="center"/>
      </w:pPr>
      <w:r>
        <w:t>____________________________________________________________</w:t>
      </w:r>
    </w:p>
    <w:p w:rsidR="00391CB2" w:rsidRDefault="00EB35EF">
      <w:pPr>
        <w:pStyle w:val="ConsPlusNormal0"/>
        <w:jc w:val="center"/>
      </w:pPr>
      <w:r>
        <w:t>(полное наименование участника конкурса:</w:t>
      </w:r>
    </w:p>
    <w:p w:rsidR="00391CB2" w:rsidRDefault="00EB35EF">
      <w:pPr>
        <w:pStyle w:val="ConsPlusNormal0"/>
        <w:jc w:val="center"/>
      </w:pPr>
      <w:r>
        <w:t>гражданин/юридическое лицо,</w:t>
      </w:r>
    </w:p>
    <w:p w:rsidR="00391CB2" w:rsidRDefault="00EB35EF">
      <w:pPr>
        <w:pStyle w:val="ConsPlusNormal0"/>
        <w:jc w:val="center"/>
      </w:pPr>
      <w:r>
        <w:t>Ф.И.О. представителя/руководителя)</w:t>
      </w:r>
    </w:p>
    <w:p w:rsidR="00391CB2" w:rsidRDefault="00391CB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95"/>
        <w:gridCol w:w="3175"/>
        <w:gridCol w:w="1247"/>
      </w:tblGrid>
      <w:tr w:rsidR="00391CB2">
        <w:tc>
          <w:tcPr>
            <w:tcW w:w="9071" w:type="dxa"/>
            <w:gridSpan w:val="4"/>
          </w:tcPr>
          <w:p w:rsidR="00391CB2" w:rsidRDefault="00EB35EF">
            <w:pPr>
              <w:pStyle w:val="ConsPlusNormal0"/>
              <w:jc w:val="center"/>
            </w:pPr>
            <w:r>
              <w:t>Номинация: ________________________</w:t>
            </w:r>
          </w:p>
        </w:tc>
      </w:tr>
      <w:tr w:rsidR="00391CB2">
        <w:tc>
          <w:tcPr>
            <w:tcW w:w="454" w:type="dxa"/>
          </w:tcPr>
          <w:p w:rsidR="00391CB2" w:rsidRDefault="00EB35EF">
            <w:pPr>
              <w:pStyle w:val="ConsPlusNormal0"/>
              <w:jc w:val="center"/>
            </w:pPr>
            <w:r>
              <w:t>N пп.</w:t>
            </w:r>
          </w:p>
        </w:tc>
        <w:tc>
          <w:tcPr>
            <w:tcW w:w="4195" w:type="dxa"/>
          </w:tcPr>
          <w:p w:rsidR="00391CB2" w:rsidRDefault="00EB35EF">
            <w:pPr>
              <w:pStyle w:val="ConsPlusNormal0"/>
              <w:jc w:val="center"/>
            </w:pPr>
            <w:r>
              <w:t>Критерий</w:t>
            </w: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Показатель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Балл</w:t>
            </w:r>
          </w:p>
        </w:tc>
      </w:tr>
      <w:tr w:rsidR="00391CB2">
        <w:tc>
          <w:tcPr>
            <w:tcW w:w="454" w:type="dxa"/>
            <w:vMerge w:val="restart"/>
          </w:tcPr>
          <w:p w:rsidR="00391CB2" w:rsidRDefault="00EB35EF">
            <w:pPr>
              <w:pStyle w:val="ConsPlusNormal0"/>
            </w:pPr>
            <w:r>
              <w:t>1.</w:t>
            </w:r>
          </w:p>
        </w:tc>
        <w:tc>
          <w:tcPr>
            <w:tcW w:w="4195" w:type="dxa"/>
            <w:vMerge w:val="restart"/>
          </w:tcPr>
          <w:p w:rsidR="00391CB2" w:rsidRDefault="00EB35EF">
            <w:pPr>
              <w:pStyle w:val="ConsPlusNormal0"/>
            </w:pPr>
            <w:r>
              <w:t>Опыт участия в благотворительной помощи, добровольческой (волонтерской) и иной социально значимой помощи</w:t>
            </w: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до 1 года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10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1 года до 5 лет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7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более 5 лет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5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0</w:t>
            </w:r>
          </w:p>
        </w:tc>
      </w:tr>
      <w:tr w:rsidR="00391CB2">
        <w:tc>
          <w:tcPr>
            <w:tcW w:w="454" w:type="dxa"/>
            <w:vMerge w:val="restart"/>
          </w:tcPr>
          <w:p w:rsidR="00391CB2" w:rsidRDefault="00EB35EF">
            <w:pPr>
              <w:pStyle w:val="ConsPlusNormal0"/>
            </w:pPr>
            <w:r>
              <w:lastRenderedPageBreak/>
              <w:t>2.</w:t>
            </w:r>
          </w:p>
        </w:tc>
        <w:tc>
          <w:tcPr>
            <w:tcW w:w="4195" w:type="dxa"/>
            <w:vMerge w:val="restart"/>
          </w:tcPr>
          <w:p w:rsidR="00391CB2" w:rsidRDefault="00EB35EF">
            <w:pPr>
              <w:pStyle w:val="ConsPlusNormal0"/>
            </w:pPr>
            <w:r>
              <w:t>Наличие благодарственных писем благополучателей, газетных и журнальных статей, публикаций в сети Интернет фото- и видеоматериалов</w:t>
            </w: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более 10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10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5 до 10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7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до 5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5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0</w:t>
            </w:r>
          </w:p>
        </w:tc>
      </w:tr>
      <w:tr w:rsidR="00391CB2">
        <w:tc>
          <w:tcPr>
            <w:tcW w:w="454" w:type="dxa"/>
            <w:vMerge w:val="restart"/>
          </w:tcPr>
          <w:p w:rsidR="00391CB2" w:rsidRDefault="00EB35EF">
            <w:pPr>
              <w:pStyle w:val="ConsPlusNormal0"/>
            </w:pPr>
            <w:r>
              <w:t>3.</w:t>
            </w:r>
          </w:p>
        </w:tc>
        <w:tc>
          <w:tcPr>
            <w:tcW w:w="4195" w:type="dxa"/>
            <w:vMerge w:val="restart"/>
          </w:tcPr>
          <w:p w:rsidR="00391CB2" w:rsidRDefault="00EB35EF">
            <w:pPr>
              <w:pStyle w:val="ConsPlusNormal0"/>
            </w:pPr>
            <w:r>
              <w:t>Наличие оказанной помощи нуждающимся в данной помощи/участие в социальных проектах</w:t>
            </w: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более 5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10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1 до 5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7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до 1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5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0</w:t>
            </w:r>
          </w:p>
        </w:tc>
      </w:tr>
      <w:tr w:rsidR="00391CB2">
        <w:tc>
          <w:tcPr>
            <w:tcW w:w="454" w:type="dxa"/>
            <w:vMerge w:val="restart"/>
          </w:tcPr>
          <w:p w:rsidR="00391CB2" w:rsidRDefault="00EB35EF">
            <w:pPr>
              <w:pStyle w:val="ConsPlusNormal0"/>
            </w:pPr>
            <w:r>
              <w:t>4.</w:t>
            </w:r>
          </w:p>
        </w:tc>
        <w:tc>
          <w:tcPr>
            <w:tcW w:w="4195" w:type="dxa"/>
            <w:vMerge w:val="restart"/>
          </w:tcPr>
          <w:p w:rsidR="00391CB2" w:rsidRDefault="00EB35EF">
            <w:pPr>
              <w:pStyle w:val="ConsPlusNormal0"/>
            </w:pPr>
            <w:r>
              <w:t>Осуществление благотворительной/добровольческой (волонтерской)/иной социально значимой деятельности в течение года</w:t>
            </w: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более 10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10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5 до 10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7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до 5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5</w:t>
            </w:r>
          </w:p>
        </w:tc>
      </w:tr>
      <w:tr w:rsidR="00391CB2">
        <w:tc>
          <w:tcPr>
            <w:tcW w:w="454" w:type="dxa"/>
            <w:vMerge w:val="restart"/>
          </w:tcPr>
          <w:p w:rsidR="00391CB2" w:rsidRDefault="00EB35EF">
            <w:pPr>
              <w:pStyle w:val="ConsPlusNormal0"/>
            </w:pPr>
            <w:r>
              <w:t>5.</w:t>
            </w:r>
          </w:p>
        </w:tc>
        <w:tc>
          <w:tcPr>
            <w:tcW w:w="4195" w:type="dxa"/>
            <w:vMerge w:val="restart"/>
          </w:tcPr>
          <w:p w:rsidR="00391CB2" w:rsidRDefault="00EB35EF">
            <w:pPr>
              <w:pStyle w:val="ConsPlusNormal0"/>
            </w:pPr>
            <w:r>
              <w:t>Размер благотворительной помощи</w:t>
            </w: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до 10 тысяч рублей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1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10 до 50 тысяч рублей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3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50 до 100 тысяч рублей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5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от 100 до 500 тысяч рублей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7</w:t>
            </w:r>
          </w:p>
        </w:tc>
      </w:tr>
      <w:tr w:rsidR="00391CB2">
        <w:tc>
          <w:tcPr>
            <w:tcW w:w="454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4195" w:type="dxa"/>
            <w:vMerge/>
          </w:tcPr>
          <w:p w:rsidR="00391CB2" w:rsidRDefault="00391CB2">
            <w:pPr>
              <w:pStyle w:val="ConsPlusNormal0"/>
            </w:pPr>
          </w:p>
        </w:tc>
        <w:tc>
          <w:tcPr>
            <w:tcW w:w="3175" w:type="dxa"/>
          </w:tcPr>
          <w:p w:rsidR="00391CB2" w:rsidRDefault="00EB35EF">
            <w:pPr>
              <w:pStyle w:val="ConsPlusNormal0"/>
              <w:jc w:val="center"/>
            </w:pPr>
            <w:r>
              <w:t>свыше 500 тысяч рублей</w:t>
            </w:r>
          </w:p>
        </w:tc>
        <w:tc>
          <w:tcPr>
            <w:tcW w:w="1247" w:type="dxa"/>
          </w:tcPr>
          <w:p w:rsidR="00391CB2" w:rsidRDefault="00EB35EF">
            <w:pPr>
              <w:pStyle w:val="ConsPlusNormal0"/>
              <w:jc w:val="center"/>
            </w:pPr>
            <w:r>
              <w:t>10</w:t>
            </w:r>
          </w:p>
        </w:tc>
      </w:tr>
      <w:tr w:rsidR="00391CB2">
        <w:tc>
          <w:tcPr>
            <w:tcW w:w="7824" w:type="dxa"/>
            <w:gridSpan w:val="3"/>
          </w:tcPr>
          <w:p w:rsidR="00391CB2" w:rsidRDefault="00EB35EF">
            <w:pPr>
              <w:pStyle w:val="ConsPlusNormal0"/>
              <w:jc w:val="center"/>
            </w:pPr>
            <w:r>
              <w:t>Итого:</w:t>
            </w:r>
          </w:p>
        </w:tc>
        <w:tc>
          <w:tcPr>
            <w:tcW w:w="1247" w:type="dxa"/>
          </w:tcPr>
          <w:p w:rsidR="00391CB2" w:rsidRDefault="00391CB2">
            <w:pPr>
              <w:pStyle w:val="ConsPlusNormal0"/>
              <w:jc w:val="center"/>
            </w:pPr>
          </w:p>
        </w:tc>
      </w:tr>
    </w:tbl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ind w:firstLine="540"/>
        <w:jc w:val="both"/>
      </w:pPr>
    </w:p>
    <w:p w:rsidR="00391CB2" w:rsidRDefault="00391CB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1CB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EF" w:rsidRDefault="00EB35EF">
      <w:r>
        <w:separator/>
      </w:r>
    </w:p>
  </w:endnote>
  <w:endnote w:type="continuationSeparator" w:id="0">
    <w:p w:rsidR="00EB35EF" w:rsidRDefault="00EB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B2" w:rsidRDefault="00391C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91C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91CB2" w:rsidRDefault="00EB35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91CB2" w:rsidRDefault="00EB35E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91CB2" w:rsidRDefault="00EB35E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96857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96857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391CB2" w:rsidRDefault="00EB35E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B2" w:rsidRDefault="00391C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91C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91CB2" w:rsidRDefault="00EB35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91CB2" w:rsidRDefault="00EB35E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91CB2" w:rsidRDefault="00EB35E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9685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96857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391CB2" w:rsidRDefault="00EB35E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EF" w:rsidRDefault="00EB35EF">
      <w:r>
        <w:separator/>
      </w:r>
    </w:p>
  </w:footnote>
  <w:footnote w:type="continuationSeparator" w:id="0">
    <w:p w:rsidR="00EB35EF" w:rsidRDefault="00EB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91CB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91CB2" w:rsidRDefault="00EB35E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Сахалинской области от 02.10.2019 N 450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про...</w:t>
          </w:r>
        </w:p>
      </w:tc>
      <w:tc>
        <w:tcPr>
          <w:tcW w:w="2300" w:type="pct"/>
          <w:vAlign w:val="center"/>
        </w:tcPr>
        <w:p w:rsidR="00391CB2" w:rsidRDefault="00EB35E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16.03.2023</w:t>
          </w:r>
        </w:p>
      </w:tc>
    </w:tr>
  </w:tbl>
  <w:p w:rsidR="00391CB2" w:rsidRDefault="00391C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91CB2" w:rsidRDefault="00391CB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91CB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91CB2" w:rsidRDefault="00EB35E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Сахалинской области от 02.10.2019 N 450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r>
            <w:rPr>
              <w:rFonts w:ascii="Tahoma" w:hAnsi="Tahoma" w:cs="Tahoma"/>
              <w:sz w:val="16"/>
              <w:szCs w:val="16"/>
            </w:rPr>
            <w:t>про...</w:t>
          </w:r>
        </w:p>
      </w:tc>
      <w:tc>
        <w:tcPr>
          <w:tcW w:w="2300" w:type="pct"/>
          <w:vAlign w:val="center"/>
        </w:tcPr>
        <w:p w:rsidR="00391CB2" w:rsidRDefault="00EB35E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16.03.2023</w:t>
          </w:r>
        </w:p>
      </w:tc>
    </w:tr>
  </w:tbl>
  <w:p w:rsidR="00391CB2" w:rsidRDefault="00391C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91CB2" w:rsidRDefault="00391CB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B2"/>
    <w:rsid w:val="00391CB2"/>
    <w:rsid w:val="00396857"/>
    <w:rsid w:val="00E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6FE0-F57B-4127-81CC-AEC0000B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32B1ADF6B2030A312F0EA51827582ABCFF65A68D42526EB7C31553F00E5B55F57E1A2969C6DA11B41490B726DBC5719F4I5A" TargetMode="External"/><Relationship Id="rId18" Type="http://schemas.openxmlformats.org/officeDocument/2006/relationships/hyperlink" Target="consultantplus://offline/ref=132B1ADF6B2030A312F0EA51827582ABCFF65A68D4252BEB7A3A083508BCB95D50EEFD93897CF9174651157170A0551B44F6I9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2B1ADF6B2030A312F0EA51827582ABCFF65A68D4272FE87B3C083508BCB95D50EEFD939B7CA11B47570A7075B5034A023F4A3A38E874202337F460F4IAA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32B1ADF6B2030A312F0EA51827582ABCFF65A68D4272FE87B3C083508BCB95D50EEFD939B7CA11B47570B7176B5034A023F4A3A38E874202337F460F4IAA" TargetMode="External"/><Relationship Id="rId17" Type="http://schemas.openxmlformats.org/officeDocument/2006/relationships/hyperlink" Target="consultantplus://offline/ref=132B1ADF6B2030A312F0EA51827582ABCFF65A68D4272FE87B3C083508BCB95D50EEFD939B7CA11B47570B7174B5034A023F4A3A38E874202337F460F4IAA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2B1ADF6B2030A312F0EA51827582ABCFF65A68DC2129E77831553F00E5B55F57E1A2849C35AD1A47570B7878EA065F1367463D20F6773D3F35F6F6I1A" TargetMode="External"/><Relationship Id="rId20" Type="http://schemas.openxmlformats.org/officeDocument/2006/relationships/hyperlink" Target="consultantplus://offline/ref=132B1ADF6B2030A312F0EA51827582ABCFF65A68D4272FE87B3C083508BCB95D50EEFD939B7CA11B47570B717BB5034A023F4A3A38E874202337F460F4IA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32B1ADF6B2030A312F0EA51827582ABCFF65A68D4252BEB7A3A083508BCB95D50EEFD939B7CA11B47570B7970B5034A023F4A3A38E874202337F460F4IAA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32B1ADF6B2030A312F0EA51827582ABCFF65A68DC2129E77831553F00E5B55F57E1A2849C35AD1A47570B7978EA065F1367463D20F6773D3F35F6F6I1A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32B1ADF6B2030A312F0EA51827582ABCFF65A68D4252BEB7A3A083508BCB95D50EEFD939B7CA11B47570B7677B5034A023F4A3A38E874202337F460F4IAA" TargetMode="External"/><Relationship Id="rId19" Type="http://schemas.openxmlformats.org/officeDocument/2006/relationships/hyperlink" Target="consultantplus://offline/ref=132B1ADF6B2030A312F0F45C9419DEA7CBFF0C61D42225B9266E0E6257ECBF0810AEFBC6D838AC1B465C5F2037EB5A1A4074473820F47421F3IE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32B1ADF6B2030A312F0EA51827582ABCFF65A68D4272FE87B3C083508BCB95D50EEFD939B7CA11B47570B7176B5034A023F4A3A38E874202337F460F4IAA" TargetMode="External"/><Relationship Id="rId14" Type="http://schemas.openxmlformats.org/officeDocument/2006/relationships/hyperlink" Target="consultantplus://offline/ref=132B1ADF6B2030A312F0EA51827582ABCFF65A68D42526EB7C31553F00E5B55F57E1A2849C35AD1A47570A7378EA065F1367463D20F6773D3F35F6F6I1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Сахалинской области от 02.10.2019 N 450
(ред. от 21.07.2022)
"Об утверждении Положения о проведении ежегодного областного конкурса "Благотворитель Сахалинской области"</vt:lpstr>
    </vt:vector>
  </TitlesOfParts>
  <Company>КонсультантПлюс Версия 4022.00.55</Company>
  <LinksUpToDate>false</LinksUpToDate>
  <CharactersWithSpaces>26897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Сахалинской области от 02.10.2019 N 450
(ред. от 21.07.2022)
"Об утверждении Положения о проведении ежегодного областного конкурса "Благотворитель Сахалинской области"</dc:title>
  <dc:creator>Maria</dc:creator>
  <cp:lastModifiedBy>Maria</cp:lastModifiedBy>
  <cp:revision>2</cp:revision>
  <dcterms:created xsi:type="dcterms:W3CDTF">2023-07-14T04:06:00Z</dcterms:created>
  <dcterms:modified xsi:type="dcterms:W3CDTF">2023-07-14T04:06:00Z</dcterms:modified>
</cp:coreProperties>
</file>